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4069079</wp:posOffset>
            </wp:positionH>
            <wp:positionV relativeFrom="line">
              <wp:posOffset>-548640</wp:posOffset>
            </wp:positionV>
            <wp:extent cx="1962150" cy="438150"/>
            <wp:effectExtent l="0" t="0" r="0" b="0"/>
            <wp:wrapTopAndBottom distT="0" dist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n-US"/>
        </w:rPr>
        <w:t>Exclusion Criteria for Paediatric Day Case Surgery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 xml:space="preserve">These guidelines assume that the anaesthetist and surgeon planning the case are appropriate. If there is any doubt whether a patient should have surgery as a day case, please contact the consultant anaesthetist </w:t>
      </w:r>
      <w:r>
        <w:rPr>
          <w:rtl w:val="0"/>
          <w:lang w:val="en-US"/>
        </w:rPr>
        <w:t>and/</w:t>
      </w:r>
      <w:r>
        <w:rPr>
          <w:rtl w:val="0"/>
          <w:lang w:val="en-US"/>
        </w:rPr>
        <w:t>or surgeon in charge of the case.</w:t>
      </w:r>
    </w:p>
    <w:p>
      <w:pPr>
        <w:pStyle w:val="Body"/>
        <w:rPr>
          <w:lang w:val="en-US"/>
        </w:rPr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26"/>
        <w:gridCol w:w="7330"/>
      </w:tblGrid>
      <w:tr>
        <w:tblPrEx>
          <w:shd w:val="clear" w:color="auto" w:fill="cdd4e9"/>
        </w:tblPrEx>
        <w:trPr>
          <w:trHeight w:val="66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7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Term infants &lt;4 weeks old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Ex-preterm </w:t>
            </w:r>
            <w:r>
              <w:rPr>
                <w:shd w:val="nil" w:color="auto" w:fill="auto"/>
                <w:rtl w:val="0"/>
                <w:lang w:val="en-US"/>
              </w:rPr>
              <w:t>infants &lt;60 weeks post-conceptual age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32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shd w:val="nil" w:color="auto" w:fill="auto"/>
                <w:rtl w:val="0"/>
                <w:lang w:val="en-US"/>
              </w:rPr>
              <w:t>Medical</w:t>
            </w:r>
          </w:p>
        </w:tc>
        <w:tc>
          <w:tcPr>
            <w:tcW w:type="dxa" w:w="7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ASA 3, 4 or 5 (any child with a systemic disease which causes them a definite, functional limitation)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Untreated or complex congenital heart disease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Active viral or bacterial infection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Any newly diagnosed medical condition undergoing investigation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76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shd w:val="nil" w:color="auto" w:fill="auto"/>
                <w:rtl w:val="0"/>
                <w:lang w:val="en-US"/>
              </w:rPr>
              <w:t>Anaesthetic</w:t>
            </w:r>
          </w:p>
        </w:tc>
        <w:tc>
          <w:tcPr>
            <w:tcW w:type="dxa" w:w="7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Prolonged anaesthetic/surgical time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Difficult airway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Family history of malignant hyperpyrexia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Family history</w:t>
            </w:r>
            <w:r>
              <w:rPr>
                <w:shd w:val="nil" w:color="auto" w:fill="auto"/>
                <w:rtl w:val="0"/>
                <w:lang w:val="en-US"/>
              </w:rPr>
              <w:t xml:space="preserve"> of Sudden Infant Death Syndrome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Haemoglobinopathy (not Sickle Cell Trait or Thalassaemia Minor)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Moderate/severe obstructive sleep apnoea</w:t>
            </w:r>
          </w:p>
          <w:p>
            <w:pPr>
              <w:pStyle w:val="Body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Infants with a history of chronic lung disease or apnoeas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54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shd w:val="nil" w:color="auto" w:fill="auto"/>
                <w:rtl w:val="0"/>
                <w:lang w:val="en-US"/>
              </w:rPr>
              <w:t>Surgical</w:t>
            </w:r>
          </w:p>
        </w:tc>
        <w:tc>
          <w:tcPr>
            <w:tcW w:type="dxa" w:w="7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Prolonged/complex procedures or opening of a body cavity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Procedures where post-operative pain is unlikely to be controlled by oral medication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High risk of peri-operative haemorrhage/fluid loss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Need for specialist post-operative nursing care</w:t>
            </w:r>
          </w:p>
          <w:p>
            <w:pPr>
              <w:pStyle w:val="Body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Operations on the airway (not including adenotonsillectomy)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322" w:hRule="atLeast"/>
        </w:trPr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</w:pPr>
            <w:r>
              <w:rPr>
                <w:shd w:val="nil" w:color="auto" w:fill="auto"/>
                <w:rtl w:val="0"/>
                <w:lang w:val="en-US"/>
              </w:rPr>
              <w:t>Social</w:t>
            </w:r>
          </w:p>
        </w:tc>
        <w:tc>
          <w:tcPr>
            <w:tcW w:type="dxa" w:w="7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Poor home circumstances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No transport or telephone available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Home a long distance from an appropriate hospital (&gt;1hr)</w:t>
            </w:r>
          </w:p>
          <w:p>
            <w:pPr>
              <w:pStyle w:val="Body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Extreme parental anxiety or an unwillingness/inability to care for the child at home post-operatively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rPr>
          <w:lang w:val="en-US"/>
        </w:rPr>
      </w:pPr>
    </w:p>
    <w:p>
      <w:pPr>
        <w:pStyle w:val="Body"/>
      </w:pPr>
    </w:p>
    <w:p>
      <w:pPr>
        <w:pStyle w:val="Heading"/>
      </w:pPr>
      <w:r>
        <w:rPr>
          <w:rtl w:val="0"/>
          <w:lang w:val="fr-FR"/>
        </w:rPr>
        <w:t>References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Short. J et al (2007) Issues in paediatric day surgery. BADS, 2007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Shetty N. et al (2010) Paediatric anaesthesia for day surgery. ATOTW 203 (Anaesthesia tutorial of the week- totw.anaesthesiologists.org)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Upadhyaya M, Lander A. Day-case surgery in children. Surgery (Oxford). 2013;31(3):101</w:t>
      </w:r>
      <w:r>
        <w:rPr>
          <w:sz w:val="16"/>
          <w:szCs w:val="16"/>
          <w:rtl w:val="0"/>
        </w:rPr>
        <w:t>–</w:t>
      </w:r>
      <w:r>
        <w:rPr>
          <w:sz w:val="16"/>
          <w:szCs w:val="16"/>
          <w:rtl w:val="0"/>
        </w:rPr>
        <w:t>46.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De Luca. U et al (2018) Guidelines on pediatric day surgery of the Italian Societies of Pediatric Surgery (SICP) and Pediatric Anesthesiology (SARNePI), Italian Journal of Pediatrics, 2018, Vol 44, </w:t>
      </w:r>
      <w:r>
        <w:rPr>
          <w:sz w:val="16"/>
          <w:szCs w:val="16"/>
          <w:rtl w:val="0"/>
          <w:lang w:val="en-US"/>
        </w:rPr>
        <w:t xml:space="preserve">Issue </w:t>
      </w:r>
      <w:r>
        <w:rPr>
          <w:sz w:val="16"/>
          <w:szCs w:val="16"/>
          <w:rtl w:val="0"/>
          <w:lang w:val="pt-PT"/>
        </w:rPr>
        <w:t>1, Page 1</w:t>
      </w:r>
      <w:r>
        <w:rPr>
          <w:sz w:val="16"/>
          <w:szCs w:val="16"/>
          <w:rtl w:val="0"/>
          <w:lang w:val="en-US"/>
        </w:rPr>
        <w:t>.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RCoA </w:t>
      </w:r>
      <w:r>
        <w:rPr>
          <w:sz w:val="16"/>
          <w:szCs w:val="16"/>
          <w:rtl w:val="0"/>
        </w:rPr>
        <w:t xml:space="preserve">– </w:t>
      </w:r>
      <w:r>
        <w:rPr>
          <w:sz w:val="16"/>
          <w:szCs w:val="16"/>
          <w:rtl w:val="0"/>
          <w:lang w:val="en-US"/>
        </w:rPr>
        <w:t>Guidelines for the provision of paediatric anaesthesia services. 20</w:t>
      </w:r>
      <w:r>
        <w:rPr>
          <w:sz w:val="16"/>
          <w:szCs w:val="16"/>
          <w:rtl w:val="0"/>
          <w:lang w:val="en-US"/>
        </w:rPr>
        <w:t>20</w:t>
      </w: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RCoA </w:t>
      </w:r>
      <w:r>
        <w:rPr>
          <w:sz w:val="16"/>
          <w:szCs w:val="16"/>
          <w:rtl w:val="0"/>
        </w:rPr>
        <w:t xml:space="preserve">– </w:t>
      </w:r>
      <w:r>
        <w:rPr>
          <w:sz w:val="16"/>
          <w:szCs w:val="16"/>
          <w:rtl w:val="0"/>
          <w:lang w:val="en-US"/>
        </w:rPr>
        <w:t>Guidelines for the provision of anaesthesia services for day surgery. 20</w:t>
      </w:r>
      <w:r>
        <w:rPr>
          <w:sz w:val="16"/>
          <w:szCs w:val="16"/>
          <w:rtl w:val="0"/>
          <w:lang w:val="en-US"/>
        </w:rPr>
        <w:t>21</w:t>
      </w:r>
    </w:p>
    <w:p>
      <w:pPr>
        <w:pStyle w:val="Body"/>
        <w:rPr>
          <w:sz w:val="16"/>
          <w:szCs w:val="16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z w:val="16"/>
          <w:szCs w:val="1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Green, Zoe et al.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(2021) 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Incidence of paediatric unplanned day-case admissions in the UK and Ireland: a prospective multicentre observational study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British Journal of Anaesthesia,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Vol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124, Issue 4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; 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463 - 472</w:t>
      </w:r>
      <w:r>
        <w:rPr>
          <w:rFonts w:ascii="Times New Roman" w:hAnsi="Times New Roman"/>
          <w:outline w:val="0"/>
          <w:color w:val="333333"/>
          <w:sz w:val="16"/>
          <w:szCs w:val="1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</w:pPr>
    </w:p>
    <w:p>
      <w:pPr>
        <w:pStyle w:val="Heading"/>
      </w:pPr>
      <w:r>
        <w:rPr>
          <w:rtl w:val="0"/>
          <w:lang w:val="nl-NL"/>
        </w:rPr>
        <w:t>Jo Challands</w:t>
      </w:r>
    </w:p>
    <w:p>
      <w:pPr>
        <w:pStyle w:val="Body"/>
      </w:pPr>
      <w:r>
        <w:rPr>
          <w:rtl w:val="0"/>
          <w:lang w:val="en-US"/>
        </w:rPr>
        <w:t>Feb 1998, revised Nov 2005</w:t>
      </w:r>
    </w:p>
    <w:p>
      <w:pPr>
        <w:pStyle w:val="Heading"/>
      </w:pPr>
      <w:r>
        <w:rPr>
          <w:rtl w:val="0"/>
          <w:lang w:val="en-US"/>
        </w:rPr>
        <w:t>Esther Cook</w:t>
      </w:r>
    </w:p>
    <w:p>
      <w:pPr>
        <w:pStyle w:val="Body"/>
      </w:pPr>
      <w:r>
        <w:rPr>
          <w:rtl w:val="0"/>
          <w:lang w:val="en-US"/>
        </w:rPr>
        <w:t>Revised Jan 2013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Katherine Harvey-Kelly</w:t>
      </w:r>
    </w:p>
    <w:p>
      <w:pPr>
        <w:pStyle w:val="Body"/>
        <w:rPr>
          <w:b w:val="1"/>
          <w:bCs w:val="1"/>
        </w:rPr>
      </w:pPr>
      <w:r>
        <w:rPr>
          <w:rtl w:val="0"/>
          <w:lang w:val="en-US"/>
        </w:rPr>
        <w:t>Revised August 2018</w:t>
      </w:r>
      <w:r>
        <w:br w:type="textWrapping"/>
      </w:r>
      <w:r>
        <w:rPr>
          <w:b w:val="1"/>
          <w:bCs w:val="1"/>
          <w:rtl w:val="0"/>
          <w:lang w:val="en-US"/>
        </w:rPr>
        <w:t>Lisa Elam</w:t>
      </w:r>
    </w:p>
    <w:p>
      <w:pPr>
        <w:pStyle w:val="Body"/>
      </w:pPr>
      <w:r>
        <w:rPr>
          <w:rtl w:val="0"/>
          <w:lang w:val="en-US"/>
        </w:rPr>
        <w:t>Revised September 2021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