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30" w:rsidRDefault="002F6B46" w:rsidP="008A3F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rPr>
          <w:noProof/>
        </w:rPr>
        <w:drawing>
          <wp:inline distT="0" distB="0" distL="0" distR="0">
            <wp:extent cx="15906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30" w:rsidRDefault="001F5030" w:rsidP="00D56F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u w:val="single"/>
        </w:rPr>
      </w:pPr>
    </w:p>
    <w:p w:rsidR="001F5030" w:rsidRDefault="001F5030" w:rsidP="00D56F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u w:val="single"/>
        </w:rPr>
      </w:pPr>
      <w:r w:rsidRPr="00B35388">
        <w:rPr>
          <w:b/>
          <w:bCs/>
          <w:u w:val="single"/>
        </w:rPr>
        <w:t xml:space="preserve">Management of </w:t>
      </w:r>
      <w:proofErr w:type="spellStart"/>
      <w:r w:rsidRPr="00B35388">
        <w:rPr>
          <w:b/>
          <w:bCs/>
          <w:u w:val="single"/>
        </w:rPr>
        <w:t>Inadvertant</w:t>
      </w:r>
      <w:proofErr w:type="spellEnd"/>
      <w:r w:rsidRPr="00B35388">
        <w:rPr>
          <w:b/>
          <w:bCs/>
          <w:u w:val="single"/>
        </w:rPr>
        <w:t xml:space="preserve"> Dural Punc</w:t>
      </w:r>
      <w:r w:rsidR="002F6B46">
        <w:rPr>
          <w:b/>
          <w:bCs/>
          <w:u w:val="single"/>
        </w:rPr>
        <w:t>t</w:t>
      </w:r>
      <w:r w:rsidRPr="00B35388">
        <w:rPr>
          <w:b/>
          <w:bCs/>
          <w:u w:val="single"/>
        </w:rPr>
        <w:t>ure in Children</w:t>
      </w:r>
    </w:p>
    <w:p w:rsidR="001F5030" w:rsidRPr="00D56F50" w:rsidRDefault="001F5030" w:rsidP="00D56F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u w:val="single"/>
        </w:rPr>
      </w:pPr>
      <w:r w:rsidRPr="00B35388">
        <w:t>F</w:t>
      </w:r>
      <w:r>
        <w:t xml:space="preserve">ollowing Dural Tap with a </w:t>
      </w:r>
      <w:proofErr w:type="spellStart"/>
      <w:r>
        <w:t>Tuohy</w:t>
      </w:r>
      <w:proofErr w:type="spellEnd"/>
      <w:r>
        <w:t xml:space="preserve"> Needle</w:t>
      </w: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  <w:r w:rsidRPr="00B35388">
        <w:rPr>
          <w:b/>
          <w:bCs/>
          <w:u w:val="single"/>
        </w:rPr>
        <w:t>Immediate management</w:t>
      </w: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Clinicians discretion, either;</w:t>
      </w:r>
    </w:p>
    <w:p w:rsidR="001F5030" w:rsidRPr="00B35388" w:rsidRDefault="001F5030" w:rsidP="00BB1EB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proofErr w:type="spellStart"/>
      <w:r w:rsidRPr="00B35388">
        <w:t>Resite</w:t>
      </w:r>
      <w:proofErr w:type="spellEnd"/>
      <w:r w:rsidRPr="00B35388">
        <w:t xml:space="preserve"> epidural in a different interspace. High blocks may occur as a result of increased effect of CSF spread.</w:t>
      </w:r>
    </w:p>
    <w:p w:rsidR="001F5030" w:rsidRPr="00B35388" w:rsidRDefault="001F5030" w:rsidP="00BB1EB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Proceed under spinal anaesthesia. Suggested doses</w:t>
      </w:r>
    </w:p>
    <w:p w:rsidR="001F5030" w:rsidRPr="00B35388" w:rsidRDefault="001F5030" w:rsidP="00B35388">
      <w:pPr>
        <w:pStyle w:val="Body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Infants</w:t>
      </w:r>
      <w:r>
        <w:t xml:space="preserve"> 0.5-0.6mg/</w:t>
      </w:r>
      <w:r w:rsidRPr="00B35388">
        <w:t xml:space="preserve">kg </w:t>
      </w:r>
      <w:r>
        <w:t xml:space="preserve">         </w:t>
      </w:r>
      <w:r w:rsidRPr="00B35388">
        <w:t>(0.1-0.</w:t>
      </w:r>
      <w:r>
        <w:t>12mL/kg of 0.5% bupiva</w:t>
      </w:r>
      <w:r w:rsidRPr="00B35388">
        <w:t>caine)</w:t>
      </w:r>
    </w:p>
    <w:p w:rsidR="001F5030" w:rsidRPr="00B35388" w:rsidRDefault="001F5030" w:rsidP="00B35388">
      <w:pPr>
        <w:pStyle w:val="Body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1-7 </w:t>
      </w:r>
      <w:proofErr w:type="spellStart"/>
      <w:r>
        <w:t>yr</w:t>
      </w:r>
      <w:proofErr w:type="spellEnd"/>
      <w:r>
        <w:t xml:space="preserve"> olds 0.3-0.5mg/</w:t>
      </w:r>
      <w:r w:rsidRPr="00B35388">
        <w:t xml:space="preserve">kg </w:t>
      </w:r>
      <w:r>
        <w:t xml:space="preserve">  (0.06-0.1mL/kg of 0.5% bupiva</w:t>
      </w:r>
      <w:r w:rsidRPr="00B35388">
        <w:t>caine)</w:t>
      </w:r>
    </w:p>
    <w:p w:rsidR="001F5030" w:rsidRPr="00B35388" w:rsidRDefault="001F5030" w:rsidP="00B35388">
      <w:pPr>
        <w:pStyle w:val="Body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&gt;7 </w:t>
      </w:r>
      <w:proofErr w:type="spellStart"/>
      <w:r>
        <w:t>yr</w:t>
      </w:r>
      <w:proofErr w:type="spellEnd"/>
      <w:r>
        <w:t xml:space="preserve"> olds 0.2-0.3mg/</w:t>
      </w:r>
      <w:r w:rsidRPr="00B35388">
        <w:t>kg</w:t>
      </w:r>
      <w:r>
        <w:t xml:space="preserve">    (0.04-0.06mL/kg</w:t>
      </w:r>
      <w:r w:rsidRPr="00B35388">
        <w:t xml:space="preserve"> of 0.5% bup</w:t>
      </w:r>
      <w:r>
        <w:t>iva</w:t>
      </w:r>
      <w:r w:rsidRPr="00B35388">
        <w:t>caine)</w:t>
      </w:r>
    </w:p>
    <w:p w:rsidR="001F5030" w:rsidRPr="00B35388" w:rsidRDefault="001F5030" w:rsidP="00BB1EB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Abandon procedure and use intravenous opioids.</w:t>
      </w: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  <w:r w:rsidRPr="00B35388">
        <w:rPr>
          <w:b/>
          <w:bCs/>
          <w:u w:val="single"/>
        </w:rPr>
        <w:t>Post procedure management</w:t>
      </w: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Inform parents, patient (if appropriate), nursing staff and surgical team. Document on anaesthetic chart</w:t>
      </w:r>
      <w:r>
        <w:t>, epidural chart</w:t>
      </w:r>
      <w:r w:rsidRPr="00B35388">
        <w:t xml:space="preserve"> and in the</w:t>
      </w:r>
      <w:r w:rsidR="00E853BB">
        <w:t xml:space="preserve"> patient’s notes.  Include postoperative</w:t>
      </w:r>
      <w:r>
        <w:t xml:space="preserve"> recovery instructions in addition to routine observations.</w:t>
      </w: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 xml:space="preserve">Explain that the patient may develop a postural frontal headache, photophobia, tinnitus and nausea and vomiting.  Symptoms are relieved by lying flat and most </w:t>
      </w:r>
      <w:proofErr w:type="spellStart"/>
      <w:r w:rsidRPr="00B35388">
        <w:t>dural</w:t>
      </w:r>
      <w:proofErr w:type="spellEnd"/>
      <w:r w:rsidRPr="00B35388">
        <w:t xml:space="preserve"> headaches resolve spontaneously</w:t>
      </w:r>
      <w:r>
        <w:t xml:space="preserve"> by one week</w:t>
      </w:r>
      <w:r w:rsidRPr="00B35388">
        <w:t>. Advise nursing staff to contact 1109 or 1061 if symptoms develop.</w:t>
      </w: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Fill in pain audit form and inform anaesthetist on call. These patients need to be seen on the pain ward round twice a day.</w:t>
      </w: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 xml:space="preserve">Prescribe </w:t>
      </w:r>
      <w:proofErr w:type="spellStart"/>
      <w:r w:rsidRPr="00B35388">
        <w:t>paracetamol</w:t>
      </w:r>
      <w:proofErr w:type="spellEnd"/>
      <w:r w:rsidRPr="00B35388">
        <w:t xml:space="preserve">, ibuprofen (if not contraindicated) and </w:t>
      </w:r>
      <w:proofErr w:type="spellStart"/>
      <w:r w:rsidRPr="00B35388">
        <w:t>movicol</w:t>
      </w:r>
      <w:proofErr w:type="spellEnd"/>
      <w:r w:rsidRPr="00B35388">
        <w:t>.</w:t>
      </w: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Patients must be kept well hydrated, avoid straining and constipation</w:t>
      </w:r>
      <w:r w:rsidR="002F6B46">
        <w:t>,</w:t>
      </w:r>
      <w:r w:rsidRPr="00B35388">
        <w:t xml:space="preserve"> and lifting and heavy activity.</w:t>
      </w: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Consider drinks with caffeine.</w:t>
      </w:r>
    </w:p>
    <w:p w:rsidR="001F5030" w:rsidRPr="00B35388" w:rsidRDefault="001F5030" w:rsidP="00B35388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B35388">
        <w:t>A blood patch may be considered in patients with persistent headaches.</w:t>
      </w:r>
    </w:p>
    <w:p w:rsidR="001F5030" w:rsidRPr="00B35388" w:rsidRDefault="001F5030" w:rsidP="00D56F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  <w:r w:rsidRPr="00B35388">
        <w:rPr>
          <w:b/>
          <w:bCs/>
          <w:u w:val="single"/>
        </w:rPr>
        <w:t>If called to see patient on the ward for unknown post-</w:t>
      </w:r>
      <w:proofErr w:type="spellStart"/>
      <w:r w:rsidRPr="00B35388">
        <w:rPr>
          <w:b/>
          <w:bCs/>
          <w:u w:val="single"/>
        </w:rPr>
        <w:t>dural</w:t>
      </w:r>
      <w:proofErr w:type="spellEnd"/>
      <w:r w:rsidRPr="00B35388">
        <w:rPr>
          <w:b/>
          <w:bCs/>
          <w:u w:val="single"/>
        </w:rPr>
        <w:t xml:space="preserve"> puncture headache (PDPH)</w:t>
      </w:r>
    </w:p>
    <w:p w:rsidR="001F5030" w:rsidRPr="00B35388" w:rsidRDefault="001F50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</w:p>
    <w:p w:rsidR="001F5030" w:rsidRPr="00B35388" w:rsidRDefault="001F503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92"/>
        </w:tabs>
        <w:ind w:left="692" w:hanging="332"/>
        <w:rPr>
          <w:lang w:val="en-GB"/>
        </w:rPr>
      </w:pPr>
      <w:r w:rsidRPr="00B35388">
        <w:rPr>
          <w:lang w:val="en-GB"/>
        </w:rPr>
        <w:t xml:space="preserve">Check anaesthetic chart and ward notes to see if </w:t>
      </w:r>
      <w:r>
        <w:rPr>
          <w:lang w:val="en-GB"/>
        </w:rPr>
        <w:t xml:space="preserve">patient had a </w:t>
      </w:r>
      <w:proofErr w:type="spellStart"/>
      <w:r>
        <w:rPr>
          <w:lang w:val="en-GB"/>
        </w:rPr>
        <w:t>neuraxial</w:t>
      </w:r>
      <w:proofErr w:type="spellEnd"/>
      <w:r>
        <w:rPr>
          <w:lang w:val="en-GB"/>
        </w:rPr>
        <w:t xml:space="preserve"> block or a </w:t>
      </w:r>
      <w:proofErr w:type="spellStart"/>
      <w:r w:rsidRPr="00B35388">
        <w:rPr>
          <w:lang w:val="en-GB"/>
        </w:rPr>
        <w:t>dur</w:t>
      </w:r>
      <w:r>
        <w:rPr>
          <w:lang w:val="en-GB"/>
        </w:rPr>
        <w:t>al</w:t>
      </w:r>
      <w:proofErr w:type="spellEnd"/>
      <w:r>
        <w:rPr>
          <w:lang w:val="en-GB"/>
        </w:rPr>
        <w:t xml:space="preserve"> puncture documented.</w:t>
      </w:r>
    </w:p>
    <w:p w:rsidR="001F5030" w:rsidRPr="00B35388" w:rsidRDefault="001F5030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92"/>
        </w:tabs>
        <w:ind w:left="692" w:hanging="332"/>
        <w:rPr>
          <w:lang w:val="en-GB"/>
        </w:rPr>
      </w:pPr>
      <w:r w:rsidRPr="00B35388">
        <w:rPr>
          <w:lang w:val="en-GB"/>
        </w:rPr>
        <w:t>Assess patient for symptoms, severity, pyrexia and analgesic usage.</w:t>
      </w:r>
    </w:p>
    <w:p w:rsidR="001F5030" w:rsidRPr="00B35388" w:rsidRDefault="001F503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92"/>
        </w:tabs>
        <w:ind w:left="692" w:hanging="332"/>
        <w:rPr>
          <w:lang w:val="en-GB"/>
        </w:rPr>
      </w:pPr>
      <w:r w:rsidRPr="00B35388">
        <w:rPr>
          <w:lang w:val="en-GB"/>
        </w:rPr>
        <w:t>Consid</w:t>
      </w:r>
      <w:r>
        <w:rPr>
          <w:lang w:val="en-GB"/>
        </w:rPr>
        <w:t xml:space="preserve">er other intracranial pathology and rule out other causes of symptoms. Refer to </w:t>
      </w:r>
      <w:r w:rsidR="002F6B46">
        <w:rPr>
          <w:lang w:val="en-GB"/>
        </w:rPr>
        <w:t xml:space="preserve"> </w:t>
      </w:r>
      <w:r>
        <w:rPr>
          <w:lang w:val="en-GB"/>
        </w:rPr>
        <w:t>paediatric team if in doubt.</w:t>
      </w:r>
    </w:p>
    <w:p w:rsidR="001F5030" w:rsidRPr="00B35388" w:rsidRDefault="001F503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92"/>
        </w:tabs>
        <w:ind w:left="692" w:hanging="332"/>
        <w:rPr>
          <w:lang w:val="en-GB"/>
        </w:rPr>
      </w:pPr>
      <w:r w:rsidRPr="00B35388">
        <w:rPr>
          <w:lang w:val="en-GB"/>
        </w:rPr>
        <w:t>If you suspect a post-</w:t>
      </w:r>
      <w:proofErr w:type="spellStart"/>
      <w:r w:rsidRPr="00B35388">
        <w:rPr>
          <w:lang w:val="en-GB"/>
        </w:rPr>
        <w:t>dural</w:t>
      </w:r>
      <w:proofErr w:type="spellEnd"/>
      <w:r w:rsidRPr="00B35388">
        <w:rPr>
          <w:lang w:val="en-GB"/>
        </w:rPr>
        <w:t xml:space="preserve"> puncture headache, prescribe regular analgesics and encourage oral fluids.</w:t>
      </w:r>
    </w:p>
    <w:p w:rsidR="001F5030" w:rsidRPr="00B35388" w:rsidRDefault="001F503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92"/>
        </w:tabs>
        <w:ind w:left="692" w:hanging="332"/>
        <w:rPr>
          <w:lang w:val="en-GB"/>
        </w:rPr>
      </w:pPr>
      <w:r w:rsidRPr="00B35388">
        <w:rPr>
          <w:lang w:val="en-GB"/>
        </w:rPr>
        <w:t>Inform anaesthetist who performed pro</w:t>
      </w:r>
      <w:r w:rsidR="002F6B46">
        <w:rPr>
          <w:lang w:val="en-GB"/>
        </w:rPr>
        <w:t>cedure of your findings and on call</w:t>
      </w:r>
      <w:r w:rsidRPr="00B35388">
        <w:rPr>
          <w:lang w:val="en-GB"/>
        </w:rPr>
        <w:t xml:space="preserve"> consultant.</w:t>
      </w:r>
    </w:p>
    <w:p w:rsidR="001F5030" w:rsidRPr="00B35388" w:rsidRDefault="001F503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92"/>
        </w:tabs>
        <w:ind w:left="692" w:hanging="332"/>
        <w:rPr>
          <w:lang w:val="en-GB"/>
        </w:rPr>
      </w:pPr>
      <w:r w:rsidRPr="00B35388">
        <w:rPr>
          <w:lang w:val="en-GB"/>
        </w:rPr>
        <w:t>Make sure patie</w:t>
      </w:r>
      <w:r w:rsidR="002F6B46">
        <w:rPr>
          <w:lang w:val="en-GB"/>
        </w:rPr>
        <w:t xml:space="preserve">nt is handed over to 1061 and </w:t>
      </w:r>
      <w:r w:rsidRPr="00B35388">
        <w:rPr>
          <w:lang w:val="en-GB"/>
        </w:rPr>
        <w:t xml:space="preserve"> seen twice a day on pain ward round.</w:t>
      </w:r>
    </w:p>
    <w:p w:rsidR="001F5030" w:rsidRDefault="001F5030" w:rsidP="00A17F8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</w:p>
    <w:p w:rsidR="001F5030" w:rsidRDefault="001F5030" w:rsidP="00A17F8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  <w:r>
        <w:rPr>
          <w:lang w:val="en-GB"/>
        </w:rPr>
        <w:t xml:space="preserve">                                                               J</w:t>
      </w:r>
      <w:r w:rsidR="009763C2">
        <w:rPr>
          <w:lang w:val="en-GB"/>
        </w:rPr>
        <w:t>ulia Taylor</w:t>
      </w:r>
      <w:r w:rsidR="002F6B46">
        <w:rPr>
          <w:lang w:val="en-GB"/>
        </w:rPr>
        <w:t xml:space="preserve">   December</w:t>
      </w:r>
      <w:r>
        <w:rPr>
          <w:lang w:val="en-GB"/>
        </w:rPr>
        <w:t xml:space="preserve"> 2015</w:t>
      </w:r>
    </w:p>
    <w:p w:rsidR="009763C2" w:rsidRDefault="009763C2" w:rsidP="00A17F8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  <w:r>
        <w:rPr>
          <w:lang w:val="en-GB"/>
        </w:rPr>
        <w:t xml:space="preserve">                                                               Jo Challands September 2021</w:t>
      </w:r>
      <w:bookmarkStart w:id="0" w:name="_GoBack"/>
      <w:bookmarkEnd w:id="0"/>
    </w:p>
    <w:p w:rsidR="001F5030" w:rsidRPr="00B35388" w:rsidRDefault="001F5030" w:rsidP="00A17F8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</w:p>
    <w:sectPr w:rsidR="001F5030" w:rsidRPr="00B35388" w:rsidSect="008A3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552" w:bottom="993" w:left="1276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BB" w:rsidRDefault="00E853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853BB" w:rsidRDefault="00E853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B" w:rsidRDefault="00E853B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B" w:rsidRDefault="00E853B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B" w:rsidRDefault="00E853B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BB" w:rsidRDefault="00E853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853BB" w:rsidRDefault="00E853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B" w:rsidRDefault="00E853B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B" w:rsidRDefault="00E853B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B" w:rsidRDefault="00E853B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D28"/>
    <w:multiLevelType w:val="multilevel"/>
    <w:tmpl w:val="58728D9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6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">
    <w:nsid w:val="0B4869A3"/>
    <w:multiLevelType w:val="multilevel"/>
    <w:tmpl w:val="C99E63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2">
    <w:nsid w:val="0B5B4C82"/>
    <w:multiLevelType w:val="multilevel"/>
    <w:tmpl w:val="AB72B8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3">
    <w:nsid w:val="0BB66662"/>
    <w:multiLevelType w:val="multilevel"/>
    <w:tmpl w:val="2256ADC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4">
    <w:nsid w:val="200B05F1"/>
    <w:multiLevelType w:val="multilevel"/>
    <w:tmpl w:val="2F4823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6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5">
    <w:nsid w:val="23C92207"/>
    <w:multiLevelType w:val="multilevel"/>
    <w:tmpl w:val="5A0872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6">
    <w:nsid w:val="30AC7DB4"/>
    <w:multiLevelType w:val="multilevel"/>
    <w:tmpl w:val="86BA1160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7">
    <w:nsid w:val="3D3A0FB0"/>
    <w:multiLevelType w:val="multilevel"/>
    <w:tmpl w:val="E684E2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42307AD7"/>
    <w:multiLevelType w:val="multilevel"/>
    <w:tmpl w:val="981C18F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9">
    <w:nsid w:val="46921A0B"/>
    <w:multiLevelType w:val="multilevel"/>
    <w:tmpl w:val="AD96C7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0">
    <w:nsid w:val="4F4E3958"/>
    <w:multiLevelType w:val="multilevel"/>
    <w:tmpl w:val="30826A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1">
    <w:nsid w:val="50CA1944"/>
    <w:multiLevelType w:val="multilevel"/>
    <w:tmpl w:val="1CEE44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2">
    <w:nsid w:val="654D0A9E"/>
    <w:multiLevelType w:val="hybridMultilevel"/>
    <w:tmpl w:val="DDC6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81DCD"/>
    <w:multiLevelType w:val="multilevel"/>
    <w:tmpl w:val="0D105C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>
    <w:nsid w:val="675B4D6F"/>
    <w:multiLevelType w:val="multilevel"/>
    <w:tmpl w:val="D4D467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5">
    <w:nsid w:val="6E5D3252"/>
    <w:multiLevelType w:val="multilevel"/>
    <w:tmpl w:val="60AC25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6">
    <w:nsid w:val="77931B58"/>
    <w:multiLevelType w:val="multilevel"/>
    <w:tmpl w:val="6422C7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7">
    <w:nsid w:val="78162ADD"/>
    <w:multiLevelType w:val="multilevel"/>
    <w:tmpl w:val="5B9CDF7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abstractNum w:abstractNumId="18">
    <w:nsid w:val="7B622577"/>
    <w:multiLevelType w:val="multilevel"/>
    <w:tmpl w:val="101087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14"/>
  </w:num>
  <w:num w:numId="5">
    <w:abstractNumId w:val="16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57"/>
    <w:rsid w:val="000C018E"/>
    <w:rsid w:val="0015095A"/>
    <w:rsid w:val="001D589A"/>
    <w:rsid w:val="001F5030"/>
    <w:rsid w:val="00217091"/>
    <w:rsid w:val="0024428C"/>
    <w:rsid w:val="00251914"/>
    <w:rsid w:val="002F6B46"/>
    <w:rsid w:val="003B0DD4"/>
    <w:rsid w:val="004F6856"/>
    <w:rsid w:val="00565810"/>
    <w:rsid w:val="006325BB"/>
    <w:rsid w:val="00693669"/>
    <w:rsid w:val="00693A7C"/>
    <w:rsid w:val="00743A7E"/>
    <w:rsid w:val="007C5357"/>
    <w:rsid w:val="00803C77"/>
    <w:rsid w:val="008A3F44"/>
    <w:rsid w:val="008D37C8"/>
    <w:rsid w:val="009763C2"/>
    <w:rsid w:val="009E7CE5"/>
    <w:rsid w:val="00A17F8F"/>
    <w:rsid w:val="00A75385"/>
    <w:rsid w:val="00B35388"/>
    <w:rsid w:val="00BB1EBB"/>
    <w:rsid w:val="00D56F50"/>
    <w:rsid w:val="00D76B1B"/>
    <w:rsid w:val="00E6519C"/>
    <w:rsid w:val="00E853BB"/>
    <w:rsid w:val="00EA6887"/>
    <w:rsid w:val="00EB603C"/>
    <w:rsid w:val="00F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519C"/>
    <w:rPr>
      <w:rFonts w:cs="Times New Roman"/>
      <w:u w:val="single"/>
    </w:rPr>
  </w:style>
  <w:style w:type="paragraph" w:customStyle="1" w:styleId="HeaderFooter">
    <w:name w:val="Header &amp; Footer"/>
    <w:uiPriority w:val="99"/>
    <w:rsid w:val="00E651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E651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E6519C"/>
    <w:pPr>
      <w:ind w:left="720"/>
    </w:pPr>
    <w:rPr>
      <w:rFonts w:ascii="Cambria" w:hAnsi="Cambria" w:cs="Cambria"/>
      <w:color w:val="000000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rsid w:val="008A3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3F4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3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3F44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F44"/>
    <w:rPr>
      <w:rFonts w:ascii="Tahoma" w:hAnsi="Tahoma" w:cs="Tahoma"/>
      <w:sz w:val="16"/>
      <w:szCs w:val="16"/>
      <w:lang w:eastAsia="en-US"/>
    </w:rPr>
  </w:style>
  <w:style w:type="numbering" w:customStyle="1" w:styleId="List1">
    <w:name w:val="List 1"/>
    <w:rsid w:val="00B65270"/>
    <w:pPr>
      <w:numPr>
        <w:numId w:val="18"/>
      </w:numPr>
    </w:pPr>
  </w:style>
  <w:style w:type="numbering" w:customStyle="1" w:styleId="List0">
    <w:name w:val="List 0"/>
    <w:rsid w:val="00B6527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519C"/>
    <w:rPr>
      <w:rFonts w:cs="Times New Roman"/>
      <w:u w:val="single"/>
    </w:rPr>
  </w:style>
  <w:style w:type="paragraph" w:customStyle="1" w:styleId="HeaderFooter">
    <w:name w:val="Header &amp; Footer"/>
    <w:uiPriority w:val="99"/>
    <w:rsid w:val="00E651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E651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E6519C"/>
    <w:pPr>
      <w:ind w:left="720"/>
    </w:pPr>
    <w:rPr>
      <w:rFonts w:ascii="Cambria" w:hAnsi="Cambria" w:cs="Cambria"/>
      <w:color w:val="000000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rsid w:val="008A3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3F4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3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3F44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F44"/>
    <w:rPr>
      <w:rFonts w:ascii="Tahoma" w:hAnsi="Tahoma" w:cs="Tahoma"/>
      <w:sz w:val="16"/>
      <w:szCs w:val="16"/>
      <w:lang w:eastAsia="en-US"/>
    </w:rPr>
  </w:style>
  <w:style w:type="numbering" w:customStyle="1" w:styleId="List1">
    <w:name w:val="List 1"/>
    <w:rsid w:val="00B65270"/>
    <w:pPr>
      <w:numPr>
        <w:numId w:val="18"/>
      </w:numPr>
    </w:pPr>
  </w:style>
  <w:style w:type="numbering" w:customStyle="1" w:styleId="List0">
    <w:name w:val="List 0"/>
    <w:rsid w:val="00B6527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of Inadvertant Dural Puncure in Children</vt:lpstr>
    </vt:vector>
  </TitlesOfParts>
  <Company>Barts Health Trust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Inadvertant Dural Puncure in Children</dc:title>
  <dc:creator>challandsj</dc:creator>
  <cp:lastModifiedBy>Challands, Joanne</cp:lastModifiedBy>
  <cp:revision>2</cp:revision>
  <dcterms:created xsi:type="dcterms:W3CDTF">2021-09-13T14:29:00Z</dcterms:created>
  <dcterms:modified xsi:type="dcterms:W3CDTF">2021-09-13T14:29:00Z</dcterms:modified>
</cp:coreProperties>
</file>