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64CB5" w14:textId="56F66619" w:rsidR="00C96164" w:rsidRDefault="00AA0121" w:rsidP="008D48E5">
      <w:pPr>
        <w:pStyle w:val="Title"/>
        <w:jc w:val="center"/>
        <w:rPr>
          <w:b/>
          <w:sz w:val="44"/>
          <w:szCs w:val="44"/>
          <w:u w:val="single"/>
        </w:rPr>
      </w:pPr>
      <w:proofErr w:type="spellStart"/>
      <w:r w:rsidRPr="00AA0121">
        <w:rPr>
          <w:b/>
          <w:sz w:val="44"/>
          <w:szCs w:val="44"/>
          <w:u w:val="single"/>
        </w:rPr>
        <w:t>Ora</w:t>
      </w:r>
      <w:r w:rsidR="008D48E5" w:rsidRPr="00AA0121">
        <w:rPr>
          <w:b/>
          <w:sz w:val="44"/>
          <w:szCs w:val="44"/>
          <w:u w:val="single"/>
        </w:rPr>
        <w:t>morph</w:t>
      </w:r>
      <w:proofErr w:type="spellEnd"/>
      <w:r w:rsidRPr="00AA0121">
        <w:rPr>
          <w:b/>
          <w:sz w:val="44"/>
          <w:szCs w:val="44"/>
          <w:u w:val="single"/>
        </w:rPr>
        <w:t xml:space="preserve">® </w:t>
      </w:r>
      <w:r w:rsidR="008D48E5" w:rsidRPr="00AA0121">
        <w:rPr>
          <w:b/>
          <w:sz w:val="44"/>
          <w:szCs w:val="44"/>
          <w:u w:val="single"/>
        </w:rPr>
        <w:t xml:space="preserve">Discharge Guidelines </w:t>
      </w:r>
      <w:r w:rsidR="00586DAC" w:rsidRPr="00AA0121">
        <w:rPr>
          <w:b/>
          <w:sz w:val="44"/>
          <w:szCs w:val="44"/>
          <w:u w:val="single"/>
        </w:rPr>
        <w:t>for</w:t>
      </w:r>
      <w:r w:rsidR="008D48E5" w:rsidRPr="00AA0121">
        <w:rPr>
          <w:b/>
          <w:sz w:val="44"/>
          <w:szCs w:val="44"/>
          <w:u w:val="single"/>
        </w:rPr>
        <w:t xml:space="preserve"> </w:t>
      </w:r>
      <w:proofErr w:type="spellStart"/>
      <w:r w:rsidR="008D48E5" w:rsidRPr="00AA0121">
        <w:rPr>
          <w:b/>
          <w:sz w:val="44"/>
          <w:szCs w:val="44"/>
          <w:u w:val="single"/>
        </w:rPr>
        <w:t>Daycase</w:t>
      </w:r>
      <w:proofErr w:type="spellEnd"/>
      <w:r w:rsidR="008D48E5" w:rsidRPr="00AA0121">
        <w:rPr>
          <w:b/>
          <w:sz w:val="44"/>
          <w:szCs w:val="44"/>
          <w:u w:val="single"/>
        </w:rPr>
        <w:t xml:space="preserve"> Surgery</w:t>
      </w:r>
    </w:p>
    <w:p w14:paraId="60743F0F" w14:textId="77777777" w:rsidR="004E11F7" w:rsidRDefault="004E11F7" w:rsidP="003429D4"/>
    <w:p w14:paraId="08294DAE" w14:textId="1B5A629D" w:rsidR="003429D4" w:rsidRPr="004E11F7" w:rsidRDefault="004E11F7" w:rsidP="003429D4">
      <w:pPr>
        <w:rPr>
          <w:b/>
        </w:rPr>
      </w:pPr>
      <w:r w:rsidRPr="004E11F7">
        <w:rPr>
          <w:b/>
        </w:rPr>
        <w:t>For patients &gt;10kg only</w:t>
      </w:r>
      <w:r>
        <w:rPr>
          <w:b/>
        </w:rPr>
        <w:t>.</w:t>
      </w:r>
      <w:r w:rsidRPr="004E11F7">
        <w:rPr>
          <w:b/>
        </w:rPr>
        <w:t xml:space="preserve"> </w:t>
      </w:r>
      <w:r>
        <w:rPr>
          <w:b/>
        </w:rPr>
        <w:t xml:space="preserve"> P</w:t>
      </w:r>
      <w:r w:rsidRPr="004E11F7">
        <w:rPr>
          <w:b/>
        </w:rPr>
        <w:t>atients &lt; 10 kg contact the pain team</w:t>
      </w:r>
      <w:r>
        <w:rPr>
          <w:b/>
        </w:rPr>
        <w:t>.</w:t>
      </w:r>
    </w:p>
    <w:p w14:paraId="7DE50D70" w14:textId="272D4612" w:rsidR="003429D4" w:rsidRPr="006033CE" w:rsidRDefault="003429D4" w:rsidP="003429D4">
      <w:pPr>
        <w:rPr>
          <w:i/>
          <w:iCs/>
          <w:sz w:val="20"/>
          <w:szCs w:val="20"/>
        </w:rPr>
      </w:pPr>
      <w:r w:rsidRPr="006033CE">
        <w:rPr>
          <w:i/>
          <w:iCs/>
          <w:sz w:val="20"/>
          <w:szCs w:val="20"/>
        </w:rPr>
        <w:t>This list is not designed to be exhaustive</w:t>
      </w:r>
      <w:r>
        <w:rPr>
          <w:i/>
          <w:iCs/>
          <w:sz w:val="20"/>
          <w:szCs w:val="20"/>
        </w:rPr>
        <w:t xml:space="preserve">. Any </w:t>
      </w:r>
      <w:r w:rsidRPr="006033CE">
        <w:rPr>
          <w:i/>
          <w:iCs/>
          <w:sz w:val="20"/>
          <w:szCs w:val="20"/>
        </w:rPr>
        <w:t xml:space="preserve"> procedure that </w:t>
      </w:r>
      <w:r>
        <w:rPr>
          <w:i/>
          <w:iCs/>
          <w:sz w:val="20"/>
          <w:szCs w:val="20"/>
        </w:rPr>
        <w:t xml:space="preserve">will have moderate to severe </w:t>
      </w:r>
      <w:r w:rsidRPr="006033CE">
        <w:rPr>
          <w:i/>
          <w:iCs/>
          <w:sz w:val="20"/>
          <w:szCs w:val="20"/>
        </w:rPr>
        <w:t xml:space="preserve">post-operative pain </w:t>
      </w:r>
      <w:r>
        <w:rPr>
          <w:i/>
          <w:iCs/>
          <w:sz w:val="20"/>
          <w:szCs w:val="20"/>
        </w:rPr>
        <w:t xml:space="preserve">should be considered for </w:t>
      </w:r>
      <w:proofErr w:type="spellStart"/>
      <w:r>
        <w:rPr>
          <w:i/>
          <w:iCs/>
          <w:sz w:val="20"/>
          <w:szCs w:val="20"/>
        </w:rPr>
        <w:t>ora</w:t>
      </w:r>
      <w:r w:rsidRPr="006033CE">
        <w:rPr>
          <w:i/>
          <w:iCs/>
          <w:sz w:val="20"/>
          <w:szCs w:val="20"/>
        </w:rPr>
        <w:t>morph</w:t>
      </w:r>
      <w:proofErr w:type="spellEnd"/>
      <w:r w:rsidRPr="006033CE">
        <w:rPr>
          <w:i/>
          <w:iCs/>
          <w:sz w:val="20"/>
          <w:szCs w:val="20"/>
        </w:rPr>
        <w:t xml:space="preserve"> on discharge.</w:t>
      </w:r>
    </w:p>
    <w:p w14:paraId="574188C8" w14:textId="5E02DB0B" w:rsidR="003429D4" w:rsidRPr="006033CE" w:rsidRDefault="003429D4" w:rsidP="003429D4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Please note Lloyds P</w:t>
      </w:r>
      <w:r w:rsidRPr="006033CE">
        <w:rPr>
          <w:i/>
          <w:iCs/>
          <w:sz w:val="20"/>
          <w:szCs w:val="20"/>
        </w:rPr>
        <w:t>har</w:t>
      </w:r>
      <w:r>
        <w:rPr>
          <w:i/>
          <w:iCs/>
          <w:sz w:val="20"/>
          <w:szCs w:val="20"/>
        </w:rPr>
        <w:t>macy on the ground floor is</w:t>
      </w:r>
      <w:r w:rsidRPr="006033CE">
        <w:rPr>
          <w:i/>
          <w:iCs/>
          <w:sz w:val="20"/>
          <w:szCs w:val="20"/>
        </w:rPr>
        <w:t xml:space="preserve"> o</w:t>
      </w:r>
      <w:r w:rsidR="00A25B7D">
        <w:rPr>
          <w:i/>
          <w:iCs/>
          <w:sz w:val="20"/>
          <w:szCs w:val="20"/>
        </w:rPr>
        <w:t>pen 9am to 6pm Monday to Friday only</w:t>
      </w:r>
      <w:r>
        <w:rPr>
          <w:i/>
          <w:iCs/>
          <w:sz w:val="20"/>
          <w:szCs w:val="20"/>
        </w:rPr>
        <w:t xml:space="preserve">. </w:t>
      </w:r>
      <w:r w:rsidR="00A25B7D">
        <w:rPr>
          <w:i/>
          <w:iCs/>
          <w:sz w:val="20"/>
          <w:szCs w:val="20"/>
        </w:rPr>
        <w:t>Parents may need to return to collect the prescription, therefore give to parents preoperatively or as soon as possible.</w:t>
      </w:r>
    </w:p>
    <w:p w14:paraId="079C36EC" w14:textId="55F3130E" w:rsidR="008D48E5" w:rsidRPr="008D48E5" w:rsidRDefault="008D48E5" w:rsidP="008D48E5">
      <w:pPr>
        <w:rPr>
          <w:b/>
          <w:bCs/>
          <w:sz w:val="32"/>
          <w:szCs w:val="32"/>
          <w:u w:val="single"/>
        </w:rPr>
      </w:pPr>
      <w:r w:rsidRPr="008D48E5">
        <w:rPr>
          <w:b/>
          <w:bCs/>
          <w:sz w:val="32"/>
          <w:szCs w:val="32"/>
          <w:u w:val="single"/>
        </w:rPr>
        <w:t>ENT Surgery</w:t>
      </w:r>
    </w:p>
    <w:p w14:paraId="692EEF81" w14:textId="48084025" w:rsidR="008D48E5" w:rsidRDefault="00AA0121" w:rsidP="008D48E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Adenotonsillectomy</w:t>
      </w:r>
      <w:proofErr w:type="spellEnd"/>
    </w:p>
    <w:p w14:paraId="4B0D909F" w14:textId="4A919118" w:rsidR="00397412" w:rsidRDefault="00397412" w:rsidP="008D48E5">
      <w:pPr>
        <w:rPr>
          <w:sz w:val="24"/>
          <w:szCs w:val="24"/>
        </w:rPr>
      </w:pPr>
      <w:r>
        <w:rPr>
          <w:sz w:val="24"/>
          <w:szCs w:val="24"/>
        </w:rPr>
        <w:t>Mastoid or middle ear surgery</w:t>
      </w:r>
    </w:p>
    <w:p w14:paraId="0BFCAE5D" w14:textId="1F472A5C" w:rsidR="008D48E5" w:rsidRDefault="008D48E5" w:rsidP="008D48E5">
      <w:pPr>
        <w:rPr>
          <w:b/>
          <w:bCs/>
          <w:sz w:val="32"/>
          <w:szCs w:val="32"/>
          <w:u w:val="single"/>
        </w:rPr>
      </w:pPr>
      <w:r w:rsidRPr="008D48E5">
        <w:rPr>
          <w:b/>
          <w:bCs/>
          <w:sz w:val="32"/>
          <w:szCs w:val="32"/>
          <w:u w:val="single"/>
        </w:rPr>
        <w:t>Dental Surgery</w:t>
      </w:r>
    </w:p>
    <w:p w14:paraId="0830DFCB" w14:textId="6CD2EF03" w:rsidR="008D48E5" w:rsidRDefault="008D48E5" w:rsidP="008D48E5">
      <w:pPr>
        <w:rPr>
          <w:sz w:val="24"/>
          <w:szCs w:val="24"/>
        </w:rPr>
      </w:pPr>
      <w:r w:rsidRPr="008D48E5">
        <w:rPr>
          <w:sz w:val="24"/>
          <w:szCs w:val="24"/>
        </w:rPr>
        <w:t>Co</w:t>
      </w:r>
      <w:r w:rsidR="00A25B7D">
        <w:rPr>
          <w:sz w:val="24"/>
          <w:szCs w:val="24"/>
        </w:rPr>
        <w:t xml:space="preserve">mplex dental work or dental surgery </w:t>
      </w:r>
      <w:r w:rsidRPr="008D48E5">
        <w:rPr>
          <w:sz w:val="24"/>
          <w:szCs w:val="24"/>
        </w:rPr>
        <w:t xml:space="preserve"> involving adult teeth </w:t>
      </w:r>
    </w:p>
    <w:p w14:paraId="0EE84055" w14:textId="6609EA7D" w:rsidR="00AA3C64" w:rsidRDefault="00AA3C64" w:rsidP="008D48E5">
      <w:pPr>
        <w:rPr>
          <w:b/>
          <w:bCs/>
          <w:sz w:val="32"/>
          <w:szCs w:val="32"/>
          <w:u w:val="single"/>
        </w:rPr>
      </w:pPr>
      <w:r w:rsidRPr="00AA3C64">
        <w:rPr>
          <w:b/>
          <w:bCs/>
          <w:sz w:val="32"/>
          <w:szCs w:val="32"/>
          <w:u w:val="single"/>
        </w:rPr>
        <w:t>General Surgery</w:t>
      </w:r>
    </w:p>
    <w:p w14:paraId="17B886C3" w14:textId="3B6A3E1E" w:rsidR="00EE657E" w:rsidRDefault="00AA0121" w:rsidP="008D48E5">
      <w:pPr>
        <w:rPr>
          <w:sz w:val="24"/>
          <w:szCs w:val="24"/>
        </w:rPr>
      </w:pPr>
      <w:r>
        <w:rPr>
          <w:sz w:val="24"/>
          <w:szCs w:val="24"/>
        </w:rPr>
        <w:t>Circumcision</w:t>
      </w:r>
    </w:p>
    <w:p w14:paraId="4E0CD1F1" w14:textId="2E33A2F9" w:rsidR="00AA3C64" w:rsidRDefault="00AA3C64" w:rsidP="008D48E5">
      <w:pPr>
        <w:rPr>
          <w:sz w:val="24"/>
          <w:szCs w:val="24"/>
        </w:rPr>
      </w:pPr>
      <w:r>
        <w:rPr>
          <w:sz w:val="24"/>
          <w:szCs w:val="24"/>
        </w:rPr>
        <w:t>Hypospadias repair</w:t>
      </w:r>
    </w:p>
    <w:p w14:paraId="36CAEE6A" w14:textId="6EF0FD5A" w:rsidR="00AA0121" w:rsidRDefault="00AA0121" w:rsidP="00AA012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Orchidopexy</w:t>
      </w:r>
      <w:proofErr w:type="spellEnd"/>
    </w:p>
    <w:p w14:paraId="76AB3D6B" w14:textId="2C613ECC" w:rsidR="00AA3C64" w:rsidRDefault="00EE657E" w:rsidP="008D48E5">
      <w:pPr>
        <w:rPr>
          <w:sz w:val="24"/>
          <w:szCs w:val="24"/>
        </w:rPr>
      </w:pPr>
      <w:r>
        <w:rPr>
          <w:sz w:val="24"/>
          <w:szCs w:val="24"/>
        </w:rPr>
        <w:t>Umbilical</w:t>
      </w:r>
      <w:r w:rsidR="00AA3C64">
        <w:rPr>
          <w:sz w:val="24"/>
          <w:szCs w:val="24"/>
        </w:rPr>
        <w:t xml:space="preserve"> hernia repair</w:t>
      </w:r>
    </w:p>
    <w:p w14:paraId="5065CFCC" w14:textId="2DDBBA25" w:rsidR="00AA3C64" w:rsidRDefault="00AA3C64" w:rsidP="008D48E5">
      <w:pPr>
        <w:rPr>
          <w:b/>
          <w:bCs/>
          <w:sz w:val="32"/>
          <w:szCs w:val="32"/>
          <w:u w:val="single"/>
        </w:rPr>
      </w:pPr>
      <w:r w:rsidRPr="00AA3C64">
        <w:rPr>
          <w:b/>
          <w:bCs/>
          <w:sz w:val="32"/>
          <w:szCs w:val="32"/>
          <w:u w:val="single"/>
        </w:rPr>
        <w:t>Orthopaedic Surgery</w:t>
      </w:r>
    </w:p>
    <w:p w14:paraId="6180E466" w14:textId="54F87BE8" w:rsidR="00AA3C64" w:rsidRDefault="003429D4" w:rsidP="008D48E5">
      <w:pPr>
        <w:rPr>
          <w:sz w:val="24"/>
          <w:szCs w:val="24"/>
        </w:rPr>
      </w:pPr>
      <w:r>
        <w:rPr>
          <w:sz w:val="24"/>
          <w:szCs w:val="24"/>
        </w:rPr>
        <w:t>Insertion/</w:t>
      </w:r>
      <w:r w:rsidR="00AA3C64" w:rsidRPr="00AA3C64">
        <w:rPr>
          <w:sz w:val="24"/>
          <w:szCs w:val="24"/>
        </w:rPr>
        <w:t>Removal of</w:t>
      </w:r>
      <w:r w:rsidR="00696024">
        <w:rPr>
          <w:sz w:val="24"/>
          <w:szCs w:val="24"/>
        </w:rPr>
        <w:t xml:space="preserve"> complex</w:t>
      </w:r>
      <w:r w:rsidR="00AA3C64" w:rsidRPr="00AA3C64">
        <w:rPr>
          <w:sz w:val="24"/>
          <w:szCs w:val="24"/>
        </w:rPr>
        <w:t xml:space="preserve"> metalwork</w:t>
      </w:r>
    </w:p>
    <w:p w14:paraId="573961F9" w14:textId="35C348B4" w:rsidR="00AA3C64" w:rsidRDefault="00586DAC" w:rsidP="008D48E5">
      <w:pPr>
        <w:rPr>
          <w:sz w:val="24"/>
          <w:szCs w:val="24"/>
        </w:rPr>
      </w:pPr>
      <w:r>
        <w:rPr>
          <w:sz w:val="24"/>
          <w:szCs w:val="24"/>
        </w:rPr>
        <w:t>Arthroscopy</w:t>
      </w:r>
    </w:p>
    <w:p w14:paraId="75400A66" w14:textId="3F6864B8" w:rsidR="004E11F7" w:rsidRDefault="004E11F7" w:rsidP="008D48E5">
      <w:pPr>
        <w:rPr>
          <w:sz w:val="24"/>
          <w:szCs w:val="24"/>
        </w:rPr>
      </w:pPr>
      <w:r>
        <w:rPr>
          <w:sz w:val="24"/>
          <w:szCs w:val="24"/>
        </w:rPr>
        <w:t>Supracondylar and</w:t>
      </w:r>
      <w:r w:rsidR="00EE657E">
        <w:rPr>
          <w:sz w:val="24"/>
          <w:szCs w:val="24"/>
        </w:rPr>
        <w:t xml:space="preserve"> other complex fractures</w:t>
      </w:r>
    </w:p>
    <w:p w14:paraId="4C97D264" w14:textId="732838A7" w:rsidR="00EE657E" w:rsidRDefault="004E11F7" w:rsidP="008D48E5">
      <w:pPr>
        <w:rPr>
          <w:sz w:val="24"/>
          <w:szCs w:val="24"/>
        </w:rPr>
      </w:pPr>
      <w:r>
        <w:rPr>
          <w:sz w:val="24"/>
          <w:szCs w:val="24"/>
        </w:rPr>
        <w:t>Tendon lengthening (not stab cut)</w:t>
      </w:r>
      <w:r w:rsidR="001E5727">
        <w:rPr>
          <w:sz w:val="24"/>
          <w:szCs w:val="24"/>
        </w:rPr>
        <w:t>.</w:t>
      </w:r>
    </w:p>
    <w:p w14:paraId="2EEA34F8" w14:textId="77777777" w:rsidR="006033CE" w:rsidRDefault="006033CE" w:rsidP="008D48E5">
      <w:pPr>
        <w:rPr>
          <w:sz w:val="20"/>
          <w:szCs w:val="20"/>
        </w:rPr>
      </w:pPr>
    </w:p>
    <w:p w14:paraId="6740F16E" w14:textId="77E5F63B" w:rsidR="00AA3C64" w:rsidRDefault="00AA3C64" w:rsidP="008D48E5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References</w:t>
      </w:r>
    </w:p>
    <w:p w14:paraId="1A32A750" w14:textId="57245190" w:rsidR="00AA3C64" w:rsidRDefault="00E7360F" w:rsidP="008D48E5">
      <w:hyperlink r:id="rId7" w:history="1">
        <w:r w:rsidR="00AA3C64">
          <w:rPr>
            <w:rStyle w:val="Hyperlink"/>
          </w:rPr>
          <w:t>https://www.apagbi.org.uk/sites/default/files/inline-files/APA%20Guideline%20part%201.pdf</w:t>
        </w:r>
      </w:hyperlink>
    </w:p>
    <w:p w14:paraId="2759ED96" w14:textId="22085889" w:rsidR="008E50CD" w:rsidRDefault="00E7360F" w:rsidP="008D48E5">
      <w:pPr>
        <w:rPr>
          <w:rStyle w:val="Hyperlink"/>
        </w:rPr>
      </w:pPr>
      <w:hyperlink r:id="rId8" w:history="1">
        <w:r w:rsidR="008E50CD">
          <w:rPr>
            <w:rStyle w:val="Hyperlink"/>
          </w:rPr>
          <w:t>https://www.frca.co.uk/Documents/203%20Anaesthesia%20for%20paediatric%20day%20surgery.pdf</w:t>
        </w:r>
      </w:hyperlink>
    </w:p>
    <w:p w14:paraId="414525DE" w14:textId="0AB39949" w:rsidR="00EE657E" w:rsidRDefault="00B135D5" w:rsidP="008D48E5">
      <w:r>
        <w:t>Dr Sundeep Govind, December 2019</w:t>
      </w:r>
      <w:r w:rsidR="00E7360F">
        <w:t>,update November 2020.</w:t>
      </w:r>
      <w:bookmarkStart w:id="0" w:name="_GoBack"/>
      <w:bookmarkEnd w:id="0"/>
    </w:p>
    <w:p w14:paraId="1D6E183B" w14:textId="095B7730" w:rsidR="00F20FB4" w:rsidRPr="00586DAC" w:rsidRDefault="00F20FB4" w:rsidP="008D48E5">
      <w:r>
        <w:t>Approved by the Paediatric Pain Team</w:t>
      </w:r>
    </w:p>
    <w:sectPr w:rsidR="00F20FB4" w:rsidRPr="00586DA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08549B" w14:textId="77777777" w:rsidR="00B135D5" w:rsidRDefault="00B135D5" w:rsidP="00B135D5">
      <w:pPr>
        <w:spacing w:after="0" w:line="240" w:lineRule="auto"/>
      </w:pPr>
      <w:r>
        <w:separator/>
      </w:r>
    </w:p>
  </w:endnote>
  <w:endnote w:type="continuationSeparator" w:id="0">
    <w:p w14:paraId="5907102D" w14:textId="77777777" w:rsidR="00B135D5" w:rsidRDefault="00B135D5" w:rsidP="00B1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E4A775" w14:textId="77777777" w:rsidR="00B135D5" w:rsidRDefault="00B135D5" w:rsidP="00B135D5">
      <w:pPr>
        <w:spacing w:after="0" w:line="240" w:lineRule="auto"/>
      </w:pPr>
      <w:r>
        <w:separator/>
      </w:r>
    </w:p>
  </w:footnote>
  <w:footnote w:type="continuationSeparator" w:id="0">
    <w:p w14:paraId="23A6A88D" w14:textId="77777777" w:rsidR="00B135D5" w:rsidRDefault="00B135D5" w:rsidP="00B1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103C3" w14:textId="61DD7EEF" w:rsidR="00B135D5" w:rsidRDefault="00B135D5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 wp14:anchorId="7CDDB6C2" wp14:editId="538B3A38">
          <wp:extent cx="1381125" cy="3143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0C3"/>
    <w:rsid w:val="00075995"/>
    <w:rsid w:val="001950C3"/>
    <w:rsid w:val="001E5727"/>
    <w:rsid w:val="003429D4"/>
    <w:rsid w:val="00397412"/>
    <w:rsid w:val="004E11F7"/>
    <w:rsid w:val="00586DAC"/>
    <w:rsid w:val="005A61FD"/>
    <w:rsid w:val="006033CE"/>
    <w:rsid w:val="00696024"/>
    <w:rsid w:val="008D48E5"/>
    <w:rsid w:val="008E50CD"/>
    <w:rsid w:val="00A25B7D"/>
    <w:rsid w:val="00A444C8"/>
    <w:rsid w:val="00AA0121"/>
    <w:rsid w:val="00AA3C64"/>
    <w:rsid w:val="00B135D5"/>
    <w:rsid w:val="00C96164"/>
    <w:rsid w:val="00E7360F"/>
    <w:rsid w:val="00EE657E"/>
    <w:rsid w:val="00F20FB4"/>
    <w:rsid w:val="00FB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6F4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48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AA3C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D5"/>
  </w:style>
  <w:style w:type="paragraph" w:styleId="Footer">
    <w:name w:val="footer"/>
    <w:basedOn w:val="Normal"/>
    <w:link w:val="FooterChar"/>
    <w:uiPriority w:val="99"/>
    <w:unhideWhenUsed/>
    <w:rsid w:val="00B1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D5"/>
  </w:style>
  <w:style w:type="paragraph" w:styleId="BalloonText">
    <w:name w:val="Balloon Text"/>
    <w:basedOn w:val="Normal"/>
    <w:link w:val="BalloonTextChar"/>
    <w:uiPriority w:val="99"/>
    <w:semiHidden/>
    <w:unhideWhenUsed/>
    <w:rsid w:val="00B1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D48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48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semiHidden/>
    <w:unhideWhenUsed/>
    <w:rsid w:val="00AA3C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5D5"/>
  </w:style>
  <w:style w:type="paragraph" w:styleId="Footer">
    <w:name w:val="footer"/>
    <w:basedOn w:val="Normal"/>
    <w:link w:val="FooterChar"/>
    <w:uiPriority w:val="99"/>
    <w:unhideWhenUsed/>
    <w:rsid w:val="00B1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5D5"/>
  </w:style>
  <w:style w:type="paragraph" w:styleId="BalloonText">
    <w:name w:val="Balloon Text"/>
    <w:basedOn w:val="Normal"/>
    <w:link w:val="BalloonTextChar"/>
    <w:uiPriority w:val="99"/>
    <w:semiHidden/>
    <w:unhideWhenUsed/>
    <w:rsid w:val="00B1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5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ca.co.uk/Documents/203%20Anaesthesia%20for%20paediatric%20day%20surger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pagbi.org.uk/sites/default/files/inline-files/APA%20Guideline%20part%201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Barts Health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Sundeep Govind</dc:creator>
  <cp:lastModifiedBy>Challands, Joanne</cp:lastModifiedBy>
  <cp:revision>2</cp:revision>
  <dcterms:created xsi:type="dcterms:W3CDTF">2020-11-04T14:01:00Z</dcterms:created>
  <dcterms:modified xsi:type="dcterms:W3CDTF">2020-11-04T14:01:00Z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9d705873-3199-45c5-ae37-415bf063cae8</vt:lpwstr>
  </property>
</Properties>
</file>