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0" w:rsidRDefault="009B0920" w:rsidP="009B0920">
      <w:pPr>
        <w:pStyle w:val="Title"/>
        <w:rPr>
          <w:color w:val="000000"/>
          <w:szCs w:val="22"/>
        </w:rPr>
      </w:pPr>
    </w:p>
    <w:p w:rsidR="009B0920" w:rsidRPr="001F1A11" w:rsidRDefault="009B0920" w:rsidP="009B0920">
      <w:pPr>
        <w:ind w:left="720"/>
        <w:jc w:val="center"/>
        <w:rPr>
          <w:rFonts w:cs="Arial"/>
          <w:b/>
          <w:bCs/>
          <w:szCs w:val="22"/>
        </w:rPr>
      </w:pPr>
      <w:r w:rsidRPr="001F1A11">
        <w:rPr>
          <w:rFonts w:cs="Arial"/>
          <w:b/>
          <w:bCs/>
          <w:szCs w:val="22"/>
        </w:rPr>
        <w:t>Top tips for PCA/NCA with only one IV access in the  ward setting</w:t>
      </w:r>
    </w:p>
    <w:p w:rsidR="009B0920" w:rsidRPr="001F1A11" w:rsidRDefault="009B0920" w:rsidP="009B0920">
      <w:pPr>
        <w:rPr>
          <w:rFonts w:cs="Arial"/>
          <w:szCs w:val="22"/>
        </w:rPr>
      </w:pPr>
    </w:p>
    <w:p w:rsidR="009B0920" w:rsidRPr="001F1A11" w:rsidRDefault="009B0920" w:rsidP="009B0920">
      <w:pPr>
        <w:numPr>
          <w:ilvl w:val="0"/>
          <w:numId w:val="1"/>
        </w:numPr>
        <w:spacing w:before="0"/>
        <w:jc w:val="both"/>
        <w:rPr>
          <w:rFonts w:cs="Arial"/>
          <w:szCs w:val="22"/>
        </w:rPr>
      </w:pPr>
      <w:r w:rsidRPr="001F1A11">
        <w:rPr>
          <w:rFonts w:cs="Arial"/>
          <w:szCs w:val="22"/>
        </w:rPr>
        <w:t xml:space="preserve">There will be patients who are on a PCA/NCA in whom IV access is very difficult. The gold standard is two IV access points however this guideline will highlight strategies that could be used if siting a second cannula is unsuccessful.  This guide is only for use in the WARD setting. When anaesthetising a patient,  two </w:t>
      </w:r>
      <w:proofErr w:type="spellStart"/>
      <w:r w:rsidRPr="001F1A11">
        <w:rPr>
          <w:rFonts w:cs="Arial"/>
          <w:szCs w:val="22"/>
        </w:rPr>
        <w:t>cannulae</w:t>
      </w:r>
      <w:proofErr w:type="spellEnd"/>
      <w:r w:rsidRPr="001F1A11">
        <w:rPr>
          <w:rFonts w:cs="Arial"/>
          <w:szCs w:val="22"/>
        </w:rPr>
        <w:t xml:space="preserve"> must be sited, including  CVC or </w:t>
      </w:r>
      <w:proofErr w:type="spellStart"/>
      <w:r w:rsidRPr="001F1A11">
        <w:rPr>
          <w:rFonts w:cs="Arial"/>
          <w:szCs w:val="22"/>
        </w:rPr>
        <w:t>leaderflex</w:t>
      </w:r>
      <w:proofErr w:type="spellEnd"/>
      <w:r w:rsidRPr="001F1A11">
        <w:rPr>
          <w:rFonts w:cs="Arial"/>
          <w:szCs w:val="22"/>
        </w:rPr>
        <w:t xml:space="preserve">. Consider siting a central line or </w:t>
      </w:r>
      <w:proofErr w:type="spellStart"/>
      <w:r w:rsidRPr="001F1A11">
        <w:rPr>
          <w:rFonts w:cs="Arial"/>
          <w:szCs w:val="22"/>
        </w:rPr>
        <w:t>leaderflex</w:t>
      </w:r>
      <w:proofErr w:type="spellEnd"/>
      <w:r w:rsidRPr="001F1A11">
        <w:rPr>
          <w:rFonts w:cs="Arial"/>
          <w:szCs w:val="22"/>
        </w:rPr>
        <w:t xml:space="preserve">. </w:t>
      </w:r>
    </w:p>
    <w:p w:rsidR="009B0920" w:rsidRPr="001F1A11" w:rsidRDefault="009B0920" w:rsidP="009B0920">
      <w:pPr>
        <w:jc w:val="both"/>
        <w:rPr>
          <w:rFonts w:cs="Arial"/>
          <w:szCs w:val="22"/>
        </w:rPr>
      </w:pPr>
    </w:p>
    <w:p w:rsidR="009B0920" w:rsidRPr="001F1A11" w:rsidRDefault="009B0920" w:rsidP="009B0920">
      <w:pPr>
        <w:numPr>
          <w:ilvl w:val="0"/>
          <w:numId w:val="1"/>
        </w:numPr>
        <w:spacing w:before="0"/>
        <w:jc w:val="both"/>
        <w:rPr>
          <w:rFonts w:cs="Arial"/>
          <w:szCs w:val="22"/>
        </w:rPr>
      </w:pPr>
      <w:r w:rsidRPr="001F1A11">
        <w:rPr>
          <w:rFonts w:cs="Arial"/>
          <w:szCs w:val="22"/>
        </w:rPr>
        <w:t xml:space="preserve">There are some drugs where compatibility with other drugs is either unknown or are </w:t>
      </w:r>
      <w:r w:rsidRPr="001F1A11">
        <w:rPr>
          <w:rFonts w:cs="Arial"/>
          <w:b/>
          <w:szCs w:val="22"/>
        </w:rPr>
        <w:t>incompatible</w:t>
      </w:r>
      <w:r w:rsidRPr="001F1A11">
        <w:rPr>
          <w:rFonts w:cs="Arial"/>
          <w:szCs w:val="22"/>
        </w:rPr>
        <w:t xml:space="preserve">. </w:t>
      </w:r>
      <w:r w:rsidRPr="001F1A11">
        <w:rPr>
          <w:rFonts w:cs="Arial"/>
          <w:b/>
          <w:color w:val="00B050"/>
          <w:szCs w:val="22"/>
        </w:rPr>
        <w:t xml:space="preserve">Drugs compatible with morphine and fentanyl </w:t>
      </w:r>
      <w:r w:rsidRPr="001F1A11">
        <w:rPr>
          <w:rFonts w:cs="Arial"/>
          <w:color w:val="000000"/>
          <w:szCs w:val="22"/>
        </w:rPr>
        <w:t>are listed in the tables at the end of this guideline</w:t>
      </w:r>
      <w:r w:rsidRPr="001F1A11">
        <w:rPr>
          <w:rFonts w:cs="Arial"/>
          <w:szCs w:val="22"/>
        </w:rPr>
        <w:t xml:space="preserve">. It should be assumed that any drug not listed in this table is incompatible. </w:t>
      </w:r>
    </w:p>
    <w:p w:rsidR="009B0920" w:rsidRPr="001F1A11" w:rsidRDefault="009B0920" w:rsidP="009B0920">
      <w:pPr>
        <w:ind w:left="720"/>
        <w:jc w:val="both"/>
        <w:rPr>
          <w:rFonts w:cs="Arial"/>
          <w:szCs w:val="22"/>
        </w:rPr>
      </w:pPr>
    </w:p>
    <w:p w:rsidR="009B0920" w:rsidRPr="001F1A11" w:rsidRDefault="009B0920" w:rsidP="009B0920">
      <w:pPr>
        <w:numPr>
          <w:ilvl w:val="0"/>
          <w:numId w:val="1"/>
        </w:numPr>
        <w:spacing w:before="0"/>
        <w:jc w:val="both"/>
        <w:rPr>
          <w:rFonts w:cs="Arial"/>
          <w:szCs w:val="22"/>
        </w:rPr>
      </w:pPr>
      <w:r w:rsidRPr="001F1A11">
        <w:rPr>
          <w:rFonts w:cs="Arial"/>
          <w:szCs w:val="22"/>
        </w:rPr>
        <w:t xml:space="preserve">Morphine and fentanyl are compatible with most drugs. The dilution and volume of opioid in the </w:t>
      </w:r>
      <w:proofErr w:type="spellStart"/>
      <w:r w:rsidRPr="001F1A11">
        <w:rPr>
          <w:rFonts w:cs="Arial"/>
          <w:szCs w:val="22"/>
        </w:rPr>
        <w:t>deadspace</w:t>
      </w:r>
      <w:proofErr w:type="spellEnd"/>
      <w:r w:rsidRPr="001F1A11">
        <w:rPr>
          <w:rFonts w:cs="Arial"/>
          <w:szCs w:val="22"/>
        </w:rPr>
        <w:t xml:space="preserve"> of an existing line is highly unlikely to cause adverse events in the patient. The following diagram illustrates how to connect the lines to the cannula.   </w:t>
      </w:r>
    </w:p>
    <w:p w:rsidR="009B0920" w:rsidRPr="001F1A11" w:rsidRDefault="009B0920" w:rsidP="009B0920">
      <w:pPr>
        <w:jc w:val="both"/>
        <w:rPr>
          <w:rFonts w:cs="Arial"/>
          <w:noProof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162425" cy="180022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A11">
        <w:rPr>
          <w:rFonts w:cs="Arial"/>
          <w:szCs w:val="22"/>
        </w:rPr>
        <w:t xml:space="preserve">                 </w:t>
      </w:r>
    </w:p>
    <w:p w:rsidR="009B0920" w:rsidRDefault="009B0920" w:rsidP="009B0920">
      <w:pPr>
        <w:pStyle w:val="ListParagraph"/>
        <w:numPr>
          <w:ilvl w:val="0"/>
          <w:numId w:val="2"/>
        </w:numPr>
        <w:spacing w:before="0" w:after="200" w:line="276" w:lineRule="auto"/>
        <w:contextualSpacing/>
        <w:jc w:val="both"/>
        <w:rPr>
          <w:rFonts w:cs="Arial"/>
          <w:szCs w:val="22"/>
        </w:rPr>
      </w:pPr>
      <w:r w:rsidRPr="001F1A11">
        <w:rPr>
          <w:rFonts w:cs="Arial"/>
          <w:b/>
          <w:color w:val="FF0000"/>
          <w:szCs w:val="22"/>
        </w:rPr>
        <w:t>Oxycodone is incompatible with other drugs</w:t>
      </w:r>
      <w:r w:rsidRPr="001F1A11">
        <w:rPr>
          <w:rFonts w:cs="Arial"/>
          <w:szCs w:val="22"/>
        </w:rPr>
        <w:t>. Do NOT share access for oxycodone PCA/NCAs except for maintenance fluids with no additives.</w:t>
      </w:r>
    </w:p>
    <w:p w:rsidR="009B0920" w:rsidRDefault="009B0920" w:rsidP="009B0920">
      <w:pPr>
        <w:pStyle w:val="ListParagraph"/>
        <w:spacing w:before="0" w:after="200" w:line="276" w:lineRule="auto"/>
        <w:contextualSpacing/>
        <w:jc w:val="both"/>
        <w:rPr>
          <w:rFonts w:cs="Arial"/>
          <w:szCs w:val="22"/>
        </w:rPr>
      </w:pPr>
    </w:p>
    <w:p w:rsidR="009B0920" w:rsidRPr="0002673F" w:rsidRDefault="009B0920" w:rsidP="009B0920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szCs w:val="22"/>
        </w:rPr>
      </w:pPr>
      <w:r w:rsidRPr="0002673F">
        <w:rPr>
          <w:szCs w:val="22"/>
        </w:rPr>
        <w:t>If both accesses are lost, consider siting a subcutaneous PCA/NCA (see below). This can be used as a temporising measure whilst obtaining new access.</w:t>
      </w:r>
    </w:p>
    <w:p w:rsidR="009B0920" w:rsidRDefault="009B0920" w:rsidP="009B0920">
      <w:pPr>
        <w:pStyle w:val="ListParagraph"/>
        <w:spacing w:before="0" w:after="200" w:line="276" w:lineRule="auto"/>
        <w:ind w:left="360"/>
        <w:contextualSpacing/>
        <w:jc w:val="both"/>
        <w:rPr>
          <w:rFonts w:cs="Arial"/>
          <w:b/>
          <w:color w:val="FF0000"/>
          <w:szCs w:val="22"/>
        </w:rPr>
      </w:pPr>
    </w:p>
    <w:p w:rsidR="009B0920" w:rsidRPr="005E0D80" w:rsidRDefault="009B0920" w:rsidP="009B0920">
      <w:pPr>
        <w:pStyle w:val="ListParagraph"/>
        <w:spacing w:before="0" w:after="200" w:line="276" w:lineRule="auto"/>
        <w:ind w:left="360"/>
        <w:contextualSpacing/>
        <w:jc w:val="both"/>
        <w:rPr>
          <w:rFonts w:cs="Arial"/>
          <w:b/>
          <w:szCs w:val="22"/>
        </w:rPr>
      </w:pPr>
      <w:r w:rsidRPr="005E0D80">
        <w:rPr>
          <w:rFonts w:cs="Arial"/>
          <w:b/>
          <w:szCs w:val="22"/>
        </w:rPr>
        <w:t xml:space="preserve">Subcutaneous PCA/NCA </w:t>
      </w:r>
    </w:p>
    <w:p w:rsidR="009B0920" w:rsidRDefault="009B0920" w:rsidP="009B0920">
      <w:pPr>
        <w:pStyle w:val="ListParagraph"/>
        <w:numPr>
          <w:ilvl w:val="0"/>
          <w:numId w:val="3"/>
        </w:numPr>
        <w:spacing w:before="0" w:after="200" w:line="276" w:lineRule="auto"/>
        <w:contextualSpacing/>
        <w:jc w:val="both"/>
        <w:rPr>
          <w:szCs w:val="22"/>
        </w:rPr>
      </w:pPr>
      <w:r w:rsidRPr="005E0D80">
        <w:rPr>
          <w:szCs w:val="22"/>
        </w:rPr>
        <w:t>For further information, see “subcutaneous PCA/NCA”</w:t>
      </w:r>
      <w:r>
        <w:rPr>
          <w:szCs w:val="22"/>
        </w:rPr>
        <w:t xml:space="preserve"> section of the </w:t>
      </w:r>
      <w:r w:rsidRPr="005E0D80">
        <w:rPr>
          <w:szCs w:val="22"/>
        </w:rPr>
        <w:t>PCA</w:t>
      </w:r>
      <w:r>
        <w:rPr>
          <w:szCs w:val="22"/>
        </w:rPr>
        <w:t>/NCA</w:t>
      </w:r>
      <w:r w:rsidRPr="005E0D80">
        <w:rPr>
          <w:szCs w:val="22"/>
        </w:rPr>
        <w:t xml:space="preserve"> guideline.</w:t>
      </w:r>
    </w:p>
    <w:p w:rsidR="009B0920" w:rsidRPr="005E0D80" w:rsidRDefault="009B0920" w:rsidP="009B0920">
      <w:pPr>
        <w:pStyle w:val="ListParagraph"/>
        <w:spacing w:before="0" w:after="200" w:line="276" w:lineRule="auto"/>
        <w:contextualSpacing/>
        <w:jc w:val="both"/>
        <w:rPr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169545</wp:posOffset>
            </wp:positionV>
            <wp:extent cx="1647825" cy="1238250"/>
            <wp:effectExtent l="0" t="0" r="9525" b="0"/>
            <wp:wrapSquare wrapText="bothSides"/>
            <wp:docPr id="3" name="Picture 3" descr="/var/folders/hp/g3ncb3lj3zn9274dykv5lfrh0000gn/T/com.microsoft.Word/WebArchiveCopyPasteTempFiles/2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hp/g3ncb3lj3zn9274dykv5lfrh0000gn/T/com.microsoft.Word/WebArchiveCopyPasteTempFiles/2Q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20" w:rsidRPr="0002673F" w:rsidRDefault="009B0920" w:rsidP="009B0920">
      <w:pPr>
        <w:pStyle w:val="ListParagraph"/>
        <w:numPr>
          <w:ilvl w:val="0"/>
          <w:numId w:val="3"/>
        </w:numPr>
        <w:spacing w:before="0" w:after="200" w:line="276" w:lineRule="auto"/>
        <w:contextualSpacing/>
        <w:jc w:val="both"/>
        <w:rPr>
          <w:rFonts w:cs="Arial"/>
          <w:szCs w:val="22"/>
        </w:rPr>
      </w:pPr>
      <w:proofErr w:type="spellStart"/>
      <w:r w:rsidRPr="005E0D80">
        <w:rPr>
          <w:szCs w:val="22"/>
        </w:rPr>
        <w:t>Subcut</w:t>
      </w:r>
      <w:proofErr w:type="spellEnd"/>
      <w:r w:rsidRPr="005E0D80">
        <w:rPr>
          <w:szCs w:val="22"/>
        </w:rPr>
        <w:t xml:space="preserve"> prescriptions can be found in the pain folder.</w:t>
      </w:r>
      <w:r>
        <w:rPr>
          <w:szCs w:val="22"/>
        </w:rPr>
        <w:t xml:space="preserve"> </w:t>
      </w:r>
      <w:r w:rsidRPr="005E0D80">
        <w:rPr>
          <w:szCs w:val="22"/>
        </w:rPr>
        <w:t xml:space="preserve">Choose special protocol F/G on the PCA/NCA pump. </w:t>
      </w:r>
    </w:p>
    <w:p w:rsidR="009B0920" w:rsidRPr="005E0D80" w:rsidRDefault="009B0920" w:rsidP="009B0920">
      <w:pPr>
        <w:pStyle w:val="ListParagraph"/>
        <w:spacing w:before="0" w:after="200" w:line="276" w:lineRule="auto"/>
        <w:contextualSpacing/>
        <w:jc w:val="both"/>
        <w:rPr>
          <w:rFonts w:cs="Arial"/>
          <w:b/>
          <w:szCs w:val="22"/>
        </w:rPr>
      </w:pPr>
    </w:p>
    <w:p w:rsidR="009B0920" w:rsidRPr="0002673F" w:rsidRDefault="009B0920" w:rsidP="009B0920">
      <w:pPr>
        <w:pStyle w:val="ListParagraph"/>
        <w:numPr>
          <w:ilvl w:val="0"/>
          <w:numId w:val="3"/>
        </w:numPr>
        <w:spacing w:before="0" w:after="200" w:line="276" w:lineRule="auto"/>
        <w:contextualSpacing/>
        <w:jc w:val="both"/>
        <w:rPr>
          <w:rFonts w:cs="Arial"/>
          <w:b/>
          <w:szCs w:val="22"/>
        </w:rPr>
      </w:pPr>
      <w:r w:rsidRPr="005E0D80">
        <w:rPr>
          <w:szCs w:val="22"/>
        </w:rPr>
        <w:t xml:space="preserve">Use the infusion set available (see picture) from the anaesthetic office (in a box 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7000875</wp:posOffset>
            </wp:positionV>
            <wp:extent cx="1651000" cy="1238250"/>
            <wp:effectExtent l="0" t="0" r="6350" b="0"/>
            <wp:wrapNone/>
            <wp:docPr id="2" name="Picture 2" descr="/var/folders/hp/g3ncb3lj3zn9274dykv5lfrh0000gn/T/com.microsoft.Word/WebArchiveCopyPasteTempFiles/2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hp/g3ncb3lj3zn9274dykv5lfrh0000gn/T/com.microsoft.Word/WebArchiveCopyPasteTempFiles/2Q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D80">
        <w:rPr>
          <w:szCs w:val="22"/>
        </w:rPr>
        <w:t>under the CNS desk) or from ward 6B (</w:t>
      </w:r>
      <w:proofErr w:type="spellStart"/>
      <w:r w:rsidRPr="005E0D80">
        <w:rPr>
          <w:szCs w:val="22"/>
        </w:rPr>
        <w:t>Daycare</w:t>
      </w:r>
      <w:proofErr w:type="spellEnd"/>
      <w:r w:rsidRPr="005E0D80">
        <w:rPr>
          <w:szCs w:val="22"/>
        </w:rPr>
        <w:t>). Attach the PCA/NCA line to the administration se</w:t>
      </w:r>
      <w:r>
        <w:rPr>
          <w:szCs w:val="22"/>
        </w:rPr>
        <w:t>t</w:t>
      </w:r>
    </w:p>
    <w:p w:rsidR="009B0920" w:rsidRPr="0002673F" w:rsidRDefault="009B0920" w:rsidP="009B0920">
      <w:pPr>
        <w:pStyle w:val="ListParagraph"/>
        <w:spacing w:before="0" w:after="200" w:line="276" w:lineRule="auto"/>
        <w:ind w:left="0"/>
        <w:contextualSpacing/>
        <w:jc w:val="both"/>
        <w:rPr>
          <w:rFonts w:cs="Arial"/>
          <w:b/>
          <w:szCs w:val="22"/>
        </w:rPr>
      </w:pPr>
      <w:r>
        <w:rPr>
          <w:szCs w:val="22"/>
        </w:rPr>
        <w:tab/>
      </w:r>
      <w:r w:rsidRPr="0002673F">
        <w:rPr>
          <w:szCs w:val="22"/>
        </w:rPr>
        <w:tab/>
      </w:r>
      <w:r w:rsidRPr="0002673F">
        <w:rPr>
          <w:szCs w:val="22"/>
        </w:rPr>
        <w:tab/>
      </w:r>
      <w:r w:rsidRPr="0002673F">
        <w:rPr>
          <w:szCs w:val="22"/>
        </w:rPr>
        <w:tab/>
      </w:r>
      <w:r w:rsidRPr="0002673F">
        <w:rPr>
          <w:szCs w:val="22"/>
        </w:rPr>
        <w:tab/>
      </w:r>
    </w:p>
    <w:p w:rsidR="009B0920" w:rsidRPr="0002673F" w:rsidRDefault="009B0920" w:rsidP="009B0920">
      <w:pPr>
        <w:pStyle w:val="ListParagraph"/>
        <w:numPr>
          <w:ilvl w:val="0"/>
          <w:numId w:val="3"/>
        </w:numPr>
        <w:spacing w:before="0" w:after="200" w:line="276" w:lineRule="auto"/>
        <w:contextualSpacing/>
        <w:jc w:val="both"/>
        <w:rPr>
          <w:szCs w:val="22"/>
        </w:rPr>
      </w:pPr>
      <w:r w:rsidRPr="005E0D80">
        <w:rPr>
          <w:szCs w:val="22"/>
        </w:rPr>
        <w:t>Alternatively, use a butterfly needle (22G) and attach the PCA/NCA line to it.</w:t>
      </w:r>
    </w:p>
    <w:p w:rsidR="009B0920" w:rsidRPr="001F1A11" w:rsidRDefault="009B0920" w:rsidP="009B0920">
      <w:pPr>
        <w:pStyle w:val="Title"/>
        <w:rPr>
          <w:color w:val="000000"/>
          <w:szCs w:val="22"/>
        </w:rPr>
      </w:pPr>
    </w:p>
    <w:p w:rsidR="009B0920" w:rsidRPr="0045698C" w:rsidRDefault="009B0920" w:rsidP="009B0920">
      <w:pPr>
        <w:rPr>
          <w:rFonts w:cs="Arial"/>
          <w:b/>
          <w:bCs/>
          <w:szCs w:val="22"/>
        </w:rPr>
      </w:pPr>
      <w:r w:rsidRPr="0045698C">
        <w:rPr>
          <w:rFonts w:cs="Arial"/>
          <w:b/>
          <w:bCs/>
          <w:szCs w:val="22"/>
        </w:rPr>
        <w:t>Compatibility Tables</w:t>
      </w:r>
    </w:p>
    <w:tbl>
      <w:tblPr>
        <w:tblStyle w:val="TableGrid1"/>
        <w:tblpPr w:leftFromText="181" w:rightFromText="181" w:vertAnchor="text" w:horzAnchor="page" w:tblpX="1588" w:tblpY="521"/>
        <w:tblOverlap w:val="never"/>
        <w:tblW w:w="3510" w:type="dxa"/>
        <w:tblInd w:w="0" w:type="dxa"/>
        <w:tblLook w:val="04A0" w:firstRow="1" w:lastRow="0" w:firstColumn="1" w:lastColumn="0" w:noHBand="0" w:noVBand="1"/>
      </w:tblPr>
      <w:tblGrid>
        <w:gridCol w:w="3510"/>
      </w:tblGrid>
      <w:tr w:rsidR="009B0920" w:rsidRPr="0045698C" w:rsidTr="006F17FA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45698C">
              <w:rPr>
                <w:rFonts w:eastAsia="Calibri" w:cs="Arial"/>
                <w:b/>
                <w:bCs/>
                <w:szCs w:val="22"/>
              </w:rPr>
              <w:t>Drugs Compatible with</w:t>
            </w:r>
          </w:p>
          <w:p w:rsidR="009B0920" w:rsidRPr="0045698C" w:rsidRDefault="009B0920" w:rsidP="006F17FA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45698C">
              <w:rPr>
                <w:rFonts w:eastAsia="Calibri" w:cs="Arial"/>
                <w:b/>
                <w:bCs/>
                <w:szCs w:val="22"/>
              </w:rPr>
              <w:t xml:space="preserve"> BOTH</w:t>
            </w:r>
            <w:r w:rsidRPr="0045698C">
              <w:rPr>
                <w:rFonts w:cs="Arial"/>
                <w:b/>
                <w:bCs/>
                <w:szCs w:val="22"/>
              </w:rPr>
              <w:t xml:space="preserve"> (morphine and fentanyl)</w:t>
            </w:r>
          </w:p>
        </w:tc>
      </w:tr>
      <w:tr w:rsidR="009B0920" w:rsidRPr="0045698C" w:rsidTr="006F17FA">
        <w:trPr>
          <w:trHeight w:val="2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r w:rsidRPr="0045698C">
              <w:rPr>
                <w:rFonts w:eastAsia="Calibri" w:cs="Arial"/>
                <w:szCs w:val="22"/>
              </w:rPr>
              <w:t xml:space="preserve">  </w:t>
            </w:r>
            <w:proofErr w:type="spellStart"/>
            <w:r w:rsidRPr="0045698C">
              <w:rPr>
                <w:rFonts w:eastAsia="Calibri" w:cs="Arial"/>
                <w:szCs w:val="22"/>
              </w:rPr>
              <w:t>Acetylcysteine</w:t>
            </w:r>
            <w:proofErr w:type="spellEnd"/>
          </w:p>
        </w:tc>
      </w:tr>
      <w:tr w:rsidR="009B0920" w:rsidRPr="0045698C" w:rsidTr="006F17F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r w:rsidRPr="0045698C">
              <w:rPr>
                <w:rFonts w:eastAsia="Calibri" w:cs="Arial"/>
                <w:szCs w:val="22"/>
              </w:rPr>
              <w:t>Adrenaline</w:t>
            </w:r>
          </w:p>
        </w:tc>
      </w:tr>
      <w:tr w:rsidR="009B0920" w:rsidRPr="0045698C" w:rsidTr="006F17FA">
        <w:trPr>
          <w:trHeight w:val="2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proofErr w:type="spellStart"/>
            <w:r w:rsidRPr="0045698C">
              <w:rPr>
                <w:rFonts w:eastAsia="Calibri" w:cs="Arial"/>
                <w:szCs w:val="22"/>
              </w:rPr>
              <w:t>Alfentanil</w:t>
            </w:r>
            <w:proofErr w:type="spellEnd"/>
          </w:p>
        </w:tc>
      </w:tr>
      <w:tr w:rsidR="009B0920" w:rsidRPr="0045698C" w:rsidTr="006F17FA">
        <w:trPr>
          <w:trHeight w:val="2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proofErr w:type="spellStart"/>
            <w:r w:rsidRPr="0045698C">
              <w:rPr>
                <w:rFonts w:eastAsia="Calibri" w:cs="Arial"/>
                <w:szCs w:val="22"/>
              </w:rPr>
              <w:t>Amiodarone</w:t>
            </w:r>
            <w:proofErr w:type="spellEnd"/>
          </w:p>
        </w:tc>
      </w:tr>
      <w:tr w:rsidR="009B0920" w:rsidRPr="0045698C" w:rsidTr="006F17FA">
        <w:trPr>
          <w:trHeight w:val="2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proofErr w:type="spellStart"/>
            <w:r w:rsidRPr="0045698C">
              <w:rPr>
                <w:rFonts w:eastAsia="Calibri" w:cs="Arial"/>
                <w:szCs w:val="22"/>
              </w:rPr>
              <w:t>Aprotonin</w:t>
            </w:r>
            <w:proofErr w:type="spellEnd"/>
          </w:p>
        </w:tc>
      </w:tr>
      <w:tr w:rsidR="009B0920" w:rsidRPr="0045698C" w:rsidTr="006F17FA">
        <w:trPr>
          <w:trHeight w:val="2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proofErr w:type="spellStart"/>
            <w:r w:rsidRPr="0045698C">
              <w:rPr>
                <w:rFonts w:eastAsia="Calibri" w:cs="Arial"/>
                <w:szCs w:val="22"/>
              </w:rPr>
              <w:t>Atracurium</w:t>
            </w:r>
            <w:proofErr w:type="spellEnd"/>
          </w:p>
        </w:tc>
      </w:tr>
      <w:tr w:rsidR="009B0920" w:rsidRPr="0045698C" w:rsidTr="006F17F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proofErr w:type="spellStart"/>
            <w:r w:rsidRPr="0045698C">
              <w:rPr>
                <w:rFonts w:eastAsia="Calibri" w:cs="Arial"/>
                <w:szCs w:val="22"/>
              </w:rPr>
              <w:t>Cisatracurium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r w:rsidRPr="0045698C">
              <w:rPr>
                <w:rFonts w:eastAsia="Calibri" w:cs="Arial"/>
                <w:szCs w:val="22"/>
              </w:rPr>
              <w:t>Clonidine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szCs w:val="22"/>
              </w:rPr>
            </w:pPr>
            <w:proofErr w:type="spellStart"/>
            <w:r w:rsidRPr="0045698C">
              <w:rPr>
                <w:rFonts w:eastAsia="Calibri" w:cs="Arial"/>
                <w:szCs w:val="22"/>
              </w:rPr>
              <w:t>Dobutamine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Dopamine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Dopexamine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Esmolol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Gentamicin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Glucose 5%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Glyceryl</w:t>
            </w:r>
            <w:proofErr w:type="spellEnd"/>
            <w:r w:rsidRPr="0045698C">
              <w:rPr>
                <w:rFonts w:eastAsia="Calibri" w:cs="Arial"/>
                <w:bCs/>
                <w:szCs w:val="22"/>
              </w:rPr>
              <w:t xml:space="preserve"> </w:t>
            </w:r>
            <w:proofErr w:type="spellStart"/>
            <w:r w:rsidRPr="0045698C">
              <w:rPr>
                <w:rFonts w:eastAsia="Calibri" w:cs="Arial"/>
                <w:bCs/>
                <w:szCs w:val="22"/>
              </w:rPr>
              <w:t>Trinitrite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Insulin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Isosorbide</w:t>
            </w:r>
            <w:proofErr w:type="spellEnd"/>
            <w:r w:rsidRPr="0045698C">
              <w:rPr>
                <w:rFonts w:eastAsia="Calibri" w:cs="Arial"/>
                <w:bCs/>
                <w:szCs w:val="22"/>
              </w:rPr>
              <w:t xml:space="preserve"> </w:t>
            </w:r>
            <w:proofErr w:type="spellStart"/>
            <w:r w:rsidRPr="0045698C">
              <w:rPr>
                <w:rFonts w:eastAsia="Calibri" w:cs="Arial"/>
                <w:bCs/>
                <w:szCs w:val="22"/>
              </w:rPr>
              <w:t>Dinitrite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Ketamine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Labetolol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Midazolam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Milrinone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Noradrenaline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Paracetamol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Potassium Chloride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Remifentanil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Rocuronium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Sodium Chloride 0.9%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 xml:space="preserve">Sodium </w:t>
            </w:r>
            <w:proofErr w:type="spellStart"/>
            <w:r w:rsidRPr="0045698C">
              <w:rPr>
                <w:rFonts w:eastAsia="Calibri" w:cs="Arial"/>
                <w:bCs/>
                <w:szCs w:val="22"/>
              </w:rPr>
              <w:t>Nitroprusside</w:t>
            </w:r>
            <w:proofErr w:type="spellEnd"/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r w:rsidRPr="0045698C">
              <w:rPr>
                <w:rFonts w:eastAsia="Calibri" w:cs="Arial"/>
                <w:bCs/>
                <w:szCs w:val="22"/>
              </w:rPr>
              <w:t>Total Parenteral Nutrition/Lipids</w:t>
            </w:r>
          </w:p>
        </w:tc>
      </w:tr>
      <w:tr w:rsidR="009B0920" w:rsidRPr="0045698C" w:rsidTr="006F17FA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6F17FA">
            <w:pPr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 w:rsidRPr="0045698C">
              <w:rPr>
                <w:rFonts w:eastAsia="Calibri" w:cs="Arial"/>
                <w:bCs/>
                <w:szCs w:val="22"/>
              </w:rPr>
              <w:t>Vecuronium</w:t>
            </w:r>
            <w:proofErr w:type="spellEnd"/>
          </w:p>
        </w:tc>
      </w:tr>
    </w:tbl>
    <w:p w:rsidR="009B0920" w:rsidRPr="0045698C" w:rsidRDefault="009B0920" w:rsidP="009B0920">
      <w:pPr>
        <w:rPr>
          <w:rFonts w:cs="Arial"/>
          <w:b/>
          <w:bCs/>
          <w:szCs w:val="22"/>
        </w:rPr>
      </w:pPr>
    </w:p>
    <w:tbl>
      <w:tblPr>
        <w:tblpPr w:leftFromText="180" w:rightFromText="180" w:vertAnchor="page" w:horzAnchor="page" w:tblpX="6466" w:tblpY="7936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9B0920" w:rsidRPr="0045698C" w:rsidTr="009B0920">
        <w:trPr>
          <w:trHeight w:val="6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en-GB"/>
              </w:rPr>
            </w:pPr>
            <w:r w:rsidRPr="0045698C">
              <w:rPr>
                <w:rFonts w:cs="Arial"/>
                <w:b/>
                <w:bCs/>
                <w:color w:val="000000"/>
                <w:szCs w:val="22"/>
                <w:lang w:eastAsia="en-GB"/>
              </w:rPr>
              <w:t>Drugs Compatible with FENTANYL ONLY</w:t>
            </w:r>
          </w:p>
        </w:tc>
      </w:tr>
      <w:tr w:rsidR="009B0920" w:rsidRPr="0045698C" w:rsidTr="009B0920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5698C">
              <w:rPr>
                <w:rFonts w:cs="Arial"/>
                <w:color w:val="000000"/>
                <w:szCs w:val="22"/>
                <w:lang w:eastAsia="en-GB"/>
              </w:rPr>
              <w:t>Aminophylline</w:t>
            </w:r>
          </w:p>
        </w:tc>
      </w:tr>
      <w:tr w:rsidR="009B0920" w:rsidRPr="0045698C" w:rsidTr="009B0920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5698C">
              <w:rPr>
                <w:rFonts w:cs="Arial"/>
                <w:color w:val="000000"/>
                <w:szCs w:val="22"/>
                <w:lang w:eastAsia="en-GB"/>
              </w:rPr>
              <w:t xml:space="preserve">Calcium </w:t>
            </w:r>
            <w:proofErr w:type="spellStart"/>
            <w:r w:rsidRPr="0045698C">
              <w:rPr>
                <w:rFonts w:cs="Arial"/>
                <w:color w:val="000000"/>
                <w:szCs w:val="22"/>
                <w:lang w:eastAsia="en-GB"/>
              </w:rPr>
              <w:t>Gluconate</w:t>
            </w:r>
            <w:proofErr w:type="spellEnd"/>
          </w:p>
        </w:tc>
      </w:tr>
      <w:tr w:rsidR="009B0920" w:rsidRPr="0045698C" w:rsidTr="009B0920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bookmarkStart w:id="0" w:name="_GoBack" w:colFirst="0" w:colLast="0"/>
            <w:r w:rsidRPr="0045698C">
              <w:rPr>
                <w:rFonts w:cs="Arial"/>
                <w:color w:val="000000"/>
                <w:szCs w:val="22"/>
                <w:lang w:eastAsia="en-GB"/>
              </w:rPr>
              <w:t>Furosemide</w:t>
            </w:r>
          </w:p>
        </w:tc>
      </w:tr>
      <w:bookmarkEnd w:id="0"/>
      <w:tr w:rsidR="009B0920" w:rsidRPr="0045698C" w:rsidTr="009B0920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5698C">
              <w:rPr>
                <w:rFonts w:cs="Arial"/>
                <w:color w:val="000000"/>
                <w:szCs w:val="22"/>
                <w:lang w:eastAsia="en-GB"/>
              </w:rPr>
              <w:t>Heparin</w:t>
            </w:r>
          </w:p>
        </w:tc>
      </w:tr>
      <w:tr w:rsidR="009B0920" w:rsidRPr="0045698C" w:rsidTr="009B0920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5698C">
              <w:rPr>
                <w:rFonts w:cs="Arial"/>
                <w:color w:val="000000"/>
                <w:szCs w:val="22"/>
                <w:lang w:eastAsia="en-GB"/>
              </w:rPr>
              <w:t>Morphine</w:t>
            </w:r>
          </w:p>
        </w:tc>
      </w:tr>
    </w:tbl>
    <w:tbl>
      <w:tblPr>
        <w:tblStyle w:val="TableGrid"/>
        <w:tblpPr w:leftFromText="180" w:rightFromText="180" w:vertAnchor="text" w:horzAnchor="page" w:tblpX="6481" w:tblpY="953"/>
        <w:tblW w:w="0" w:type="auto"/>
        <w:tblLook w:val="04A0" w:firstRow="1" w:lastRow="0" w:firstColumn="1" w:lastColumn="0" w:noHBand="0" w:noVBand="1"/>
      </w:tblPr>
      <w:tblGrid>
        <w:gridCol w:w="3544"/>
      </w:tblGrid>
      <w:tr w:rsidR="009B0920" w:rsidRPr="0045698C" w:rsidTr="009B0920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b/>
                <w:bCs/>
                <w:sz w:val="22"/>
                <w:szCs w:val="22"/>
              </w:rPr>
              <w:t>Drugs Compatible with MORPHINE ONLY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>Calcium Chloride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>Compound Sodium Lactate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>Fentanyl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 xml:space="preserve">Glucose 4% </w:t>
            </w:r>
            <w:proofErr w:type="spellStart"/>
            <w:r w:rsidRPr="0045698C">
              <w:rPr>
                <w:rFonts w:cs="Arial"/>
                <w:sz w:val="22"/>
                <w:szCs w:val="22"/>
              </w:rPr>
              <w:t>Nacl</w:t>
            </w:r>
            <w:proofErr w:type="spellEnd"/>
            <w:r w:rsidRPr="0045698C">
              <w:rPr>
                <w:rFonts w:cs="Arial"/>
                <w:sz w:val="22"/>
                <w:szCs w:val="22"/>
              </w:rPr>
              <w:t xml:space="preserve"> 0.18%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>Magnesium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>Metronidazole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r w:rsidRPr="0045698C">
              <w:rPr>
                <w:rFonts w:cs="Arial"/>
                <w:sz w:val="22"/>
                <w:szCs w:val="22"/>
              </w:rPr>
              <w:t>Salbutamol</w:t>
            </w:r>
          </w:p>
        </w:tc>
      </w:tr>
      <w:tr w:rsidR="009B0920" w:rsidRPr="0045698C" w:rsidTr="009B092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20" w:rsidRPr="0045698C" w:rsidRDefault="009B0920" w:rsidP="009B0920">
            <w:pPr>
              <w:ind w:left="720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45698C">
              <w:rPr>
                <w:rFonts w:cs="Arial"/>
                <w:sz w:val="22"/>
                <w:szCs w:val="22"/>
              </w:rPr>
              <w:t>Vancomycin</w:t>
            </w:r>
            <w:proofErr w:type="spellEnd"/>
          </w:p>
        </w:tc>
      </w:tr>
    </w:tbl>
    <w:p w:rsidR="007E5188" w:rsidRDefault="007E5188"/>
    <w:sectPr w:rsidR="007E518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20" w:rsidRDefault="009B0920" w:rsidP="009B0920">
      <w:pPr>
        <w:spacing w:before="0"/>
      </w:pPr>
      <w:r>
        <w:separator/>
      </w:r>
    </w:p>
  </w:endnote>
  <w:endnote w:type="continuationSeparator" w:id="0">
    <w:p w:rsidR="009B0920" w:rsidRDefault="009B0920" w:rsidP="009B09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9B0920">
    <w:pPr>
      <w:pStyle w:val="Footer"/>
    </w:pPr>
    <w:r>
      <w:tab/>
    </w:r>
    <w:r>
      <w:tab/>
      <w:t>Paediatric Pain Service, February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20" w:rsidRDefault="009B0920" w:rsidP="009B0920">
      <w:pPr>
        <w:spacing w:before="0"/>
      </w:pPr>
      <w:r>
        <w:separator/>
      </w:r>
    </w:p>
  </w:footnote>
  <w:footnote w:type="continuationSeparator" w:id="0">
    <w:p w:rsidR="009B0920" w:rsidRDefault="009B0920" w:rsidP="009B09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9B0920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203835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76CC"/>
    <w:multiLevelType w:val="hybridMultilevel"/>
    <w:tmpl w:val="87EA8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60B1"/>
    <w:multiLevelType w:val="hybridMultilevel"/>
    <w:tmpl w:val="3D3696E8"/>
    <w:lvl w:ilvl="0" w:tplc="CE4CD8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8380E"/>
    <w:multiLevelType w:val="hybridMultilevel"/>
    <w:tmpl w:val="9A72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0"/>
    <w:rsid w:val="00092454"/>
    <w:rsid w:val="007E5188"/>
    <w:rsid w:val="009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0"/>
    <w:p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rsid w:val="009B0920"/>
    <w:pPr>
      <w:spacing w:before="240" w:after="60"/>
      <w:outlineLvl w:val="0"/>
    </w:pPr>
    <w:rPr>
      <w:rFonts w:cs="Arial"/>
      <w:kern w:val="28"/>
      <w:szCs w:val="24"/>
    </w:rPr>
  </w:style>
  <w:style w:type="character" w:customStyle="1" w:styleId="TitleChar">
    <w:name w:val="Title Char"/>
    <w:basedOn w:val="DefaultParagraphFont"/>
    <w:link w:val="Title"/>
    <w:rsid w:val="009B0920"/>
    <w:rPr>
      <w:rFonts w:ascii="Arial" w:eastAsia="Times New Roman" w:hAnsi="Arial" w:cs="Arial"/>
      <w:kern w:val="28"/>
      <w:szCs w:val="24"/>
    </w:rPr>
  </w:style>
  <w:style w:type="paragraph" w:styleId="ListParagraph">
    <w:name w:val="List Paragraph"/>
    <w:basedOn w:val="Normal"/>
    <w:uiPriority w:val="34"/>
    <w:qFormat/>
    <w:rsid w:val="009B0920"/>
    <w:pPr>
      <w:ind w:left="720"/>
    </w:pPr>
  </w:style>
  <w:style w:type="table" w:customStyle="1" w:styleId="TableGrid1">
    <w:name w:val="Table Grid1"/>
    <w:basedOn w:val="TableNormal"/>
    <w:uiPriority w:val="39"/>
    <w:rsid w:val="009B09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9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92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092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2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092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0"/>
    <w:p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rsid w:val="009B0920"/>
    <w:pPr>
      <w:spacing w:before="240" w:after="60"/>
      <w:outlineLvl w:val="0"/>
    </w:pPr>
    <w:rPr>
      <w:rFonts w:cs="Arial"/>
      <w:kern w:val="28"/>
      <w:szCs w:val="24"/>
    </w:rPr>
  </w:style>
  <w:style w:type="character" w:customStyle="1" w:styleId="TitleChar">
    <w:name w:val="Title Char"/>
    <w:basedOn w:val="DefaultParagraphFont"/>
    <w:link w:val="Title"/>
    <w:rsid w:val="009B0920"/>
    <w:rPr>
      <w:rFonts w:ascii="Arial" w:eastAsia="Times New Roman" w:hAnsi="Arial" w:cs="Arial"/>
      <w:kern w:val="28"/>
      <w:szCs w:val="24"/>
    </w:rPr>
  </w:style>
  <w:style w:type="paragraph" w:styleId="ListParagraph">
    <w:name w:val="List Paragraph"/>
    <w:basedOn w:val="Normal"/>
    <w:uiPriority w:val="34"/>
    <w:qFormat/>
    <w:rsid w:val="009B0920"/>
    <w:pPr>
      <w:ind w:left="720"/>
    </w:pPr>
  </w:style>
  <w:style w:type="table" w:customStyle="1" w:styleId="TableGrid1">
    <w:name w:val="Table Grid1"/>
    <w:basedOn w:val="TableNormal"/>
    <w:uiPriority w:val="39"/>
    <w:rsid w:val="009B09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9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92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092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2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092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Sigg, Ulrike</dc:creator>
  <cp:lastModifiedBy>Sigg, Ulrike</cp:lastModifiedBy>
  <cp:revision>1</cp:revision>
  <dcterms:created xsi:type="dcterms:W3CDTF">2022-02-01T11:27:00Z</dcterms:created>
  <dcterms:modified xsi:type="dcterms:W3CDTF">2022-02-01T11:31:00Z</dcterms:modified>
</cp:coreProperties>
</file>